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11580E">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outlineLvl w:val="0"/>
        <w:rPr>
          <w:rFonts w:hint="default" w:ascii="Times New Roman" w:hAnsi="Times New Roman" w:eastAsia="方正公文小标宋" w:cs="Times New Roman"/>
          <w:b w:val="0"/>
          <w:bCs w:val="0"/>
          <w:sz w:val="36"/>
          <w:szCs w:val="36"/>
        </w:rPr>
      </w:pPr>
      <w:r>
        <w:rPr>
          <w:rFonts w:hint="default" w:ascii="Times New Roman" w:hAnsi="Times New Roman" w:eastAsia="方正公文小标宋" w:cs="Times New Roman"/>
          <w:b w:val="0"/>
          <w:bCs w:val="0"/>
          <w:spacing w:val="-5"/>
          <w:sz w:val="36"/>
          <w:szCs w:val="36"/>
          <w:lang w:eastAsia="zh-CN"/>
        </w:rPr>
        <w:t>义乌</w:t>
      </w:r>
      <w:r>
        <w:rPr>
          <w:rFonts w:hint="default" w:ascii="Times New Roman" w:hAnsi="Times New Roman" w:eastAsia="方正公文小标宋" w:cs="Times New Roman"/>
          <w:b w:val="0"/>
          <w:bCs w:val="0"/>
          <w:spacing w:val="-5"/>
          <w:sz w:val="36"/>
          <w:szCs w:val="36"/>
        </w:rPr>
        <w:t>农商银行 202</w:t>
      </w:r>
      <w:r>
        <w:rPr>
          <w:rFonts w:hint="eastAsia" w:ascii="Times New Roman" w:hAnsi="Times New Roman" w:eastAsia="方正公文小标宋" w:cs="Times New Roman"/>
          <w:b w:val="0"/>
          <w:bCs w:val="0"/>
          <w:spacing w:val="-5"/>
          <w:sz w:val="36"/>
          <w:szCs w:val="36"/>
          <w:lang w:val="en-US" w:eastAsia="zh-CN"/>
        </w:rPr>
        <w:t>6</w:t>
      </w:r>
      <w:r>
        <w:rPr>
          <w:rFonts w:hint="default" w:ascii="Times New Roman" w:hAnsi="Times New Roman" w:eastAsia="方正公文小标宋" w:cs="Times New Roman"/>
          <w:b w:val="0"/>
          <w:bCs w:val="0"/>
          <w:spacing w:val="-5"/>
          <w:sz w:val="36"/>
          <w:szCs w:val="36"/>
          <w:highlight w:val="none"/>
        </w:rPr>
        <w:t>年</w:t>
      </w:r>
      <w:r>
        <w:rPr>
          <w:rFonts w:hint="eastAsia" w:ascii="Times New Roman" w:hAnsi="Times New Roman" w:eastAsia="方正公文小标宋" w:cs="Times New Roman"/>
          <w:b w:val="0"/>
          <w:bCs w:val="0"/>
          <w:spacing w:val="-5"/>
          <w:sz w:val="36"/>
          <w:szCs w:val="36"/>
          <w:highlight w:val="none"/>
          <w:lang w:eastAsia="zh-CN"/>
        </w:rPr>
        <w:t>二</w:t>
      </w:r>
      <w:r>
        <w:rPr>
          <w:rFonts w:hint="default" w:ascii="Times New Roman" w:hAnsi="Times New Roman" w:eastAsia="方正公文小标宋" w:cs="Times New Roman"/>
          <w:b w:val="0"/>
          <w:bCs w:val="0"/>
          <w:color w:val="auto"/>
          <w:spacing w:val="-5"/>
          <w:sz w:val="36"/>
          <w:szCs w:val="36"/>
          <w:highlight w:val="none"/>
        </w:rPr>
        <w:t>季度</w:t>
      </w:r>
      <w:r>
        <w:rPr>
          <w:rFonts w:hint="default" w:ascii="Times New Roman" w:hAnsi="Times New Roman" w:eastAsia="方正公文小标宋" w:cs="Times New Roman"/>
          <w:b w:val="0"/>
          <w:bCs w:val="0"/>
          <w:spacing w:val="-5"/>
          <w:sz w:val="36"/>
          <w:szCs w:val="36"/>
        </w:rPr>
        <w:t>对外信息披露</w:t>
      </w:r>
    </w:p>
    <w:p w14:paraId="5D35F183">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ascii="Arial"/>
          <w:sz w:val="21"/>
        </w:rPr>
      </w:pPr>
      <w:bookmarkStart w:id="0" w:name="_GoBack"/>
      <w:bookmarkEnd w:id="0"/>
    </w:p>
    <w:p w14:paraId="06EEC55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center"/>
        <w:textAlignment w:val="baseline"/>
        <w:rPr>
          <w:rFonts w:hint="eastAsia" w:ascii="黑体" w:hAnsi="黑体" w:eastAsia="黑体" w:cs="黑体"/>
          <w:spacing w:val="7"/>
          <w:sz w:val="32"/>
          <w:szCs w:val="32"/>
          <w:highlight w:val="yellow"/>
          <w:lang w:eastAsia="zh-CN"/>
        </w:rPr>
      </w:pPr>
      <w:r>
        <w:rPr>
          <w:rFonts w:hint="eastAsia" w:ascii="黑体" w:hAnsi="黑体" w:eastAsia="黑体" w:cs="黑体"/>
          <w:spacing w:val="7"/>
          <w:sz w:val="32"/>
          <w:szCs w:val="32"/>
          <w:highlight w:val="none"/>
          <w:lang w:eastAsia="zh-CN"/>
        </w:rPr>
        <w:t>第一节</w:t>
      </w:r>
      <w:r>
        <w:rPr>
          <w:rFonts w:hint="eastAsia" w:ascii="黑体" w:hAnsi="黑体" w:eastAsia="黑体" w:cs="黑体"/>
          <w:spacing w:val="7"/>
          <w:sz w:val="32"/>
          <w:szCs w:val="32"/>
          <w:highlight w:val="none"/>
          <w:lang w:val="en-US" w:eastAsia="zh-CN"/>
        </w:rPr>
        <w:t xml:space="preserve">  </w:t>
      </w:r>
      <w:r>
        <w:rPr>
          <w:rFonts w:ascii="黑体" w:hAnsi="黑体" w:eastAsia="黑体" w:cs="黑体"/>
          <w:spacing w:val="7"/>
          <w:sz w:val="32"/>
          <w:szCs w:val="32"/>
          <w:highlight w:val="none"/>
        </w:rPr>
        <w:t>财务状况</w:t>
      </w:r>
    </w:p>
    <w:tbl>
      <w:tblPr>
        <w:tblStyle w:val="6"/>
        <w:tblW w:w="76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75"/>
        <w:gridCol w:w="2700"/>
        <w:gridCol w:w="2860"/>
      </w:tblGrid>
      <w:tr w14:paraId="554EC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4775" w:type="dxa"/>
            <w:gridSpan w:val="2"/>
            <w:tcBorders>
              <w:top w:val="single" w:color="000000" w:sz="8" w:space="0"/>
              <w:left w:val="nil"/>
              <w:bottom w:val="single" w:color="000000" w:sz="4" w:space="0"/>
              <w:right w:val="single" w:color="000000" w:sz="4" w:space="0"/>
            </w:tcBorders>
            <w:shd w:val="clear" w:color="auto" w:fill="0070C0"/>
            <w:vAlign w:val="center"/>
          </w:tcPr>
          <w:p w14:paraId="14910A18">
            <w:pPr>
              <w:keepNext w:val="0"/>
              <w:keepLines w:val="0"/>
              <w:widowControl/>
              <w:suppressLineNumbers w:val="0"/>
              <w:jc w:val="center"/>
              <w:textAlignment w:val="center"/>
              <w:rPr>
                <w:rFonts w:hint="eastAsia" w:ascii="宋体" w:hAnsi="宋体" w:eastAsia="宋体" w:cs="宋体"/>
                <w:b/>
                <w:bCs/>
                <w:i w:val="0"/>
                <w:iCs w:val="0"/>
                <w:color w:val="FFFFFF"/>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项</w:t>
            </w:r>
            <w:r>
              <w:rPr>
                <w:rFonts w:hint="eastAsia" w:ascii="宋体" w:hAnsi="宋体" w:eastAsia="宋体" w:cs="宋体"/>
                <w:i w:val="0"/>
                <w:iCs w:val="0"/>
                <w:snapToGrid w:val="0"/>
                <w:color w:val="000000"/>
                <w:kern w:val="0"/>
                <w:sz w:val="20"/>
                <w:szCs w:val="20"/>
                <w:u w:val="none"/>
                <w:lang w:val="en-US" w:eastAsia="zh-CN" w:bidi="ar"/>
              </w:rPr>
              <w:t xml:space="preserve">    </w:t>
            </w:r>
            <w:r>
              <w:rPr>
                <w:rFonts w:hint="eastAsia" w:ascii="宋体" w:hAnsi="宋体" w:eastAsia="宋体" w:cs="宋体"/>
                <w:b/>
                <w:bCs/>
                <w:i w:val="0"/>
                <w:iCs w:val="0"/>
                <w:snapToGrid w:val="0"/>
                <w:color w:val="000000"/>
                <w:kern w:val="0"/>
                <w:sz w:val="20"/>
                <w:szCs w:val="20"/>
                <w:u w:val="none"/>
                <w:lang w:val="en-US" w:eastAsia="zh-CN" w:bidi="ar"/>
              </w:rPr>
              <w:t>目</w:t>
            </w:r>
          </w:p>
        </w:tc>
        <w:tc>
          <w:tcPr>
            <w:tcW w:w="2860" w:type="dxa"/>
            <w:tcBorders>
              <w:top w:val="single" w:color="000000" w:sz="8" w:space="0"/>
              <w:left w:val="single" w:color="000000" w:sz="4" w:space="0"/>
              <w:bottom w:val="single" w:color="000000" w:sz="4" w:space="0"/>
              <w:right w:val="nil"/>
            </w:tcBorders>
            <w:shd w:val="clear" w:color="auto" w:fill="0070C0"/>
            <w:vAlign w:val="center"/>
          </w:tcPr>
          <w:p w14:paraId="20B77185">
            <w:pPr>
              <w:keepNext w:val="0"/>
              <w:keepLines w:val="0"/>
              <w:widowControl/>
              <w:suppressLineNumbers w:val="0"/>
              <w:jc w:val="center"/>
              <w:textAlignment w:val="center"/>
              <w:rPr>
                <w:rFonts w:hint="default" w:ascii="Times New Roman" w:hAnsi="Times New Roman" w:eastAsia="宋体" w:cs="Times New Roman"/>
                <w:b/>
                <w:bCs/>
                <w:i w:val="0"/>
                <w:iCs w:val="0"/>
                <w:color w:val="FFFFFF"/>
                <w:sz w:val="20"/>
                <w:szCs w:val="20"/>
                <w:highlight w:val="yellow"/>
                <w:u w:val="none"/>
                <w:lang w:val="en-US"/>
              </w:rPr>
            </w:pPr>
            <w:r>
              <w:rPr>
                <w:rFonts w:hint="default" w:ascii="Times New Roman" w:hAnsi="Times New Roman" w:eastAsia="宋体" w:cs="Times New Roman"/>
                <w:b/>
                <w:bCs/>
                <w:i w:val="0"/>
                <w:iCs w:val="0"/>
                <w:snapToGrid w:val="0"/>
                <w:color w:val="000000"/>
                <w:kern w:val="0"/>
                <w:sz w:val="20"/>
                <w:szCs w:val="20"/>
                <w:highlight w:val="none"/>
                <w:u w:val="none"/>
                <w:lang w:val="en-US" w:eastAsia="zh-CN" w:bidi="ar"/>
              </w:rPr>
              <w:t>202</w:t>
            </w:r>
            <w:r>
              <w:rPr>
                <w:rFonts w:hint="eastAsia" w:ascii="Times New Roman" w:hAnsi="Times New Roman" w:eastAsia="宋体" w:cs="Times New Roman"/>
                <w:b/>
                <w:bCs/>
                <w:i w:val="0"/>
                <w:iCs w:val="0"/>
                <w:snapToGrid w:val="0"/>
                <w:color w:val="000000"/>
                <w:kern w:val="0"/>
                <w:sz w:val="20"/>
                <w:szCs w:val="20"/>
                <w:highlight w:val="none"/>
                <w:u w:val="none"/>
                <w:lang w:val="en-US" w:eastAsia="zh-CN" w:bidi="ar"/>
              </w:rPr>
              <w:t>6</w:t>
            </w:r>
            <w:r>
              <w:rPr>
                <w:rFonts w:hint="eastAsia" w:ascii="宋体" w:hAnsi="宋体" w:eastAsia="宋体" w:cs="宋体"/>
                <w:b/>
                <w:bCs/>
                <w:i w:val="0"/>
                <w:iCs w:val="0"/>
                <w:snapToGrid w:val="0"/>
                <w:color w:val="000000"/>
                <w:kern w:val="0"/>
                <w:sz w:val="20"/>
                <w:szCs w:val="20"/>
                <w:highlight w:val="none"/>
                <w:u w:val="none"/>
                <w:lang w:val="en-US" w:eastAsia="zh-CN" w:bidi="ar"/>
              </w:rPr>
              <w:t>年二季度末</w:t>
            </w:r>
          </w:p>
        </w:tc>
      </w:tr>
      <w:tr w14:paraId="62596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restart"/>
            <w:tcBorders>
              <w:top w:val="single" w:color="000000" w:sz="4" w:space="0"/>
              <w:left w:val="nil"/>
              <w:bottom w:val="single" w:color="000000" w:sz="4" w:space="0"/>
              <w:right w:val="single" w:color="000000" w:sz="4" w:space="0"/>
            </w:tcBorders>
            <w:shd w:val="clear" w:color="auto" w:fill="auto"/>
            <w:vAlign w:val="center"/>
          </w:tcPr>
          <w:p w14:paraId="34ACA2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规模指标</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A84C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资产总额（亿元）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3649B18D">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yellow"/>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1555.17</w:t>
            </w:r>
          </w:p>
        </w:tc>
      </w:tr>
      <w:tr w14:paraId="04086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4AAFB722">
            <w:pPr>
              <w:jc w:val="left"/>
              <w:rPr>
                <w:rFonts w:hint="eastAsia" w:ascii="宋体" w:hAnsi="宋体" w:eastAsia="宋体" w:cs="宋体"/>
                <w:i w:val="0"/>
                <w:iCs w:val="0"/>
                <w:color w:val="000000"/>
                <w:sz w:val="20"/>
                <w:szCs w:val="20"/>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C8D36">
            <w:pPr>
              <w:keepNext w:val="0"/>
              <w:keepLines w:val="0"/>
              <w:widowControl/>
              <w:suppressLineNumbers w:val="0"/>
              <w:ind w:firstLine="200" w:firstLineChars="10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各项贷款（亿元）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5528F50A">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yellow"/>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1137.73</w:t>
            </w:r>
          </w:p>
        </w:tc>
      </w:tr>
      <w:tr w14:paraId="2CD09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3C4E15AD">
            <w:pPr>
              <w:jc w:val="left"/>
              <w:rPr>
                <w:rFonts w:hint="eastAsia" w:ascii="宋体" w:hAnsi="宋体" w:eastAsia="宋体" w:cs="宋体"/>
                <w:i w:val="0"/>
                <w:iCs w:val="0"/>
                <w:color w:val="000000"/>
                <w:sz w:val="20"/>
                <w:szCs w:val="20"/>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0C634">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负债总额（亿元）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0622FCCA">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yellow"/>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1434.55</w:t>
            </w:r>
          </w:p>
        </w:tc>
      </w:tr>
      <w:tr w14:paraId="54EE3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43E5EBBC">
            <w:pPr>
              <w:jc w:val="left"/>
              <w:rPr>
                <w:rFonts w:hint="eastAsia" w:ascii="宋体" w:hAnsi="宋体" w:eastAsia="宋体" w:cs="宋体"/>
                <w:i w:val="0"/>
                <w:iCs w:val="0"/>
                <w:color w:val="000000"/>
                <w:sz w:val="20"/>
                <w:szCs w:val="20"/>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55BDF">
            <w:pPr>
              <w:keepNext w:val="0"/>
              <w:keepLines w:val="0"/>
              <w:widowControl/>
              <w:suppressLineNumbers w:val="0"/>
              <w:ind w:firstLine="200" w:firstLineChars="10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各项存款（亿元）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0D6BD89A">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yellow"/>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1237.20</w:t>
            </w:r>
          </w:p>
        </w:tc>
      </w:tr>
      <w:tr w14:paraId="2E328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453CA1D0">
            <w:pPr>
              <w:jc w:val="left"/>
              <w:rPr>
                <w:rFonts w:hint="eastAsia" w:ascii="宋体" w:hAnsi="宋体" w:eastAsia="宋体" w:cs="宋体"/>
                <w:i w:val="0"/>
                <w:iCs w:val="0"/>
                <w:color w:val="000000"/>
                <w:sz w:val="20"/>
                <w:szCs w:val="20"/>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4375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所有者权益（亿元）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4A9748A8">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yellow"/>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120.62</w:t>
            </w:r>
          </w:p>
        </w:tc>
      </w:tr>
      <w:tr w14:paraId="109AD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61C17459">
            <w:pPr>
              <w:jc w:val="left"/>
              <w:rPr>
                <w:rFonts w:hint="eastAsia" w:ascii="宋体" w:hAnsi="宋体" w:eastAsia="宋体" w:cs="宋体"/>
                <w:i w:val="0"/>
                <w:iCs w:val="0"/>
                <w:color w:val="000000"/>
                <w:sz w:val="20"/>
                <w:szCs w:val="20"/>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D420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每股净资产（元）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0817CBAB">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yellow"/>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6.10</w:t>
            </w:r>
          </w:p>
        </w:tc>
      </w:tr>
      <w:tr w14:paraId="25B37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restart"/>
            <w:tcBorders>
              <w:top w:val="single" w:color="000000" w:sz="4" w:space="0"/>
              <w:left w:val="nil"/>
              <w:bottom w:val="single" w:color="000000" w:sz="4" w:space="0"/>
              <w:right w:val="single" w:color="000000" w:sz="4" w:space="0"/>
            </w:tcBorders>
            <w:shd w:val="clear" w:color="auto" w:fill="auto"/>
            <w:vAlign w:val="center"/>
          </w:tcPr>
          <w:p w14:paraId="2FB4D5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盈利指标</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3FDE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营业收入（亿元）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3E87E06B">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yellow"/>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15.95</w:t>
            </w:r>
          </w:p>
        </w:tc>
      </w:tr>
      <w:tr w14:paraId="7EE74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628153B2">
            <w:pPr>
              <w:jc w:val="left"/>
              <w:rPr>
                <w:rFonts w:hint="eastAsia" w:ascii="宋体" w:hAnsi="宋体" w:eastAsia="宋体" w:cs="宋体"/>
                <w:i w:val="0"/>
                <w:iCs w:val="0"/>
                <w:color w:val="000000"/>
                <w:sz w:val="20"/>
                <w:szCs w:val="20"/>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3C27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营业支出（亿元）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7F2BF2E7">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yellow"/>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8.46</w:t>
            </w:r>
          </w:p>
        </w:tc>
      </w:tr>
      <w:tr w14:paraId="03388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7BB7B9C2">
            <w:pPr>
              <w:jc w:val="left"/>
              <w:rPr>
                <w:rFonts w:hint="eastAsia" w:ascii="宋体" w:hAnsi="宋体" w:eastAsia="宋体" w:cs="宋体"/>
                <w:i w:val="0"/>
                <w:iCs w:val="0"/>
                <w:color w:val="000000"/>
                <w:sz w:val="20"/>
                <w:szCs w:val="20"/>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A28B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利润总额（亿元）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73DD86FB">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yellow"/>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7.47</w:t>
            </w:r>
          </w:p>
        </w:tc>
      </w:tr>
      <w:tr w14:paraId="33A54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72C39F41">
            <w:pPr>
              <w:jc w:val="left"/>
              <w:rPr>
                <w:rFonts w:hint="eastAsia" w:ascii="宋体" w:hAnsi="宋体" w:eastAsia="宋体" w:cs="宋体"/>
                <w:i w:val="0"/>
                <w:iCs w:val="0"/>
                <w:color w:val="000000"/>
                <w:sz w:val="20"/>
                <w:szCs w:val="20"/>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6E9D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净利润（亿元）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34BB45CF">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yellow"/>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6.59</w:t>
            </w:r>
          </w:p>
        </w:tc>
      </w:tr>
      <w:tr w14:paraId="07481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4FC7F0C5">
            <w:pPr>
              <w:jc w:val="left"/>
              <w:rPr>
                <w:rFonts w:hint="eastAsia" w:ascii="宋体" w:hAnsi="宋体" w:eastAsia="宋体" w:cs="宋体"/>
                <w:i w:val="0"/>
                <w:iCs w:val="0"/>
                <w:color w:val="000000"/>
                <w:sz w:val="20"/>
                <w:szCs w:val="20"/>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404A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成本收入比（%）</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35E90220">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yellow"/>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25.97</w:t>
            </w:r>
          </w:p>
        </w:tc>
      </w:tr>
      <w:tr w14:paraId="3085E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restart"/>
            <w:tcBorders>
              <w:top w:val="single" w:color="000000" w:sz="4" w:space="0"/>
              <w:left w:val="nil"/>
              <w:bottom w:val="single" w:color="000000" w:sz="4" w:space="0"/>
              <w:right w:val="single" w:color="000000" w:sz="4" w:space="0"/>
            </w:tcBorders>
            <w:shd w:val="clear" w:color="auto" w:fill="auto"/>
            <w:vAlign w:val="center"/>
          </w:tcPr>
          <w:p w14:paraId="58E2AC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资产质量指标</w:t>
            </w:r>
          </w:p>
        </w:tc>
        <w:tc>
          <w:tcPr>
            <w:tcW w:w="2700" w:type="dxa"/>
            <w:tcBorders>
              <w:top w:val="single" w:color="000000" w:sz="4" w:space="0"/>
              <w:left w:val="nil"/>
              <w:bottom w:val="single" w:color="000000" w:sz="4" w:space="0"/>
              <w:right w:val="single" w:color="000000" w:sz="4" w:space="0"/>
            </w:tcBorders>
            <w:shd w:val="clear" w:color="auto" w:fill="auto"/>
            <w:vAlign w:val="center"/>
          </w:tcPr>
          <w:p w14:paraId="255C744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不良贷款率（%）</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5D0C00C8">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yellow"/>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0.84</w:t>
            </w:r>
          </w:p>
        </w:tc>
      </w:tr>
      <w:tr w14:paraId="76182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1CDCD301">
            <w:pPr>
              <w:jc w:val="left"/>
              <w:rPr>
                <w:rFonts w:hint="eastAsia" w:ascii="宋体" w:hAnsi="宋体" w:eastAsia="宋体" w:cs="宋体"/>
                <w:i w:val="0"/>
                <w:iCs w:val="0"/>
                <w:color w:val="000000"/>
                <w:sz w:val="20"/>
                <w:szCs w:val="20"/>
                <w:u w:val="none"/>
              </w:rPr>
            </w:pPr>
          </w:p>
        </w:tc>
        <w:tc>
          <w:tcPr>
            <w:tcW w:w="2700" w:type="dxa"/>
            <w:tcBorders>
              <w:top w:val="single" w:color="000000" w:sz="4" w:space="0"/>
              <w:left w:val="nil"/>
              <w:bottom w:val="single" w:color="000000" w:sz="4" w:space="0"/>
              <w:right w:val="single" w:color="000000" w:sz="4" w:space="0"/>
            </w:tcBorders>
            <w:shd w:val="clear" w:color="auto" w:fill="auto"/>
            <w:vAlign w:val="center"/>
          </w:tcPr>
          <w:p w14:paraId="33CEEF2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拨备覆盖率（%）</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2325BC17">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yellow"/>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552.96</w:t>
            </w:r>
          </w:p>
        </w:tc>
      </w:tr>
      <w:tr w14:paraId="3F6AA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73B8C93E">
            <w:pPr>
              <w:jc w:val="left"/>
              <w:rPr>
                <w:rFonts w:hint="eastAsia" w:ascii="宋体" w:hAnsi="宋体" w:eastAsia="宋体" w:cs="宋体"/>
                <w:i w:val="0"/>
                <w:iCs w:val="0"/>
                <w:color w:val="000000"/>
                <w:sz w:val="20"/>
                <w:szCs w:val="20"/>
                <w:u w:val="none"/>
              </w:rPr>
            </w:pPr>
          </w:p>
        </w:tc>
        <w:tc>
          <w:tcPr>
            <w:tcW w:w="2700" w:type="dxa"/>
            <w:tcBorders>
              <w:top w:val="single" w:color="000000" w:sz="4" w:space="0"/>
              <w:left w:val="nil"/>
              <w:bottom w:val="single" w:color="000000" w:sz="8" w:space="0"/>
              <w:right w:val="single" w:color="000000" w:sz="4" w:space="0"/>
            </w:tcBorders>
            <w:shd w:val="clear" w:color="auto" w:fill="auto"/>
            <w:vAlign w:val="center"/>
          </w:tcPr>
          <w:p w14:paraId="347001E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贷款拨备率（%）</w:t>
            </w:r>
          </w:p>
        </w:tc>
        <w:tc>
          <w:tcPr>
            <w:tcW w:w="2860" w:type="dxa"/>
            <w:tcBorders>
              <w:top w:val="single" w:color="000000" w:sz="4" w:space="0"/>
              <w:left w:val="single" w:color="000000" w:sz="4" w:space="0"/>
              <w:bottom w:val="single" w:color="000000" w:sz="8" w:space="0"/>
              <w:right w:val="nil"/>
            </w:tcBorders>
            <w:shd w:val="clear" w:color="auto" w:fill="auto"/>
            <w:vAlign w:val="center"/>
          </w:tcPr>
          <w:p w14:paraId="474F4CB2">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yellow"/>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4.66</w:t>
            </w:r>
          </w:p>
        </w:tc>
      </w:tr>
    </w:tbl>
    <w:p w14:paraId="61C7AC27">
      <w:pPr>
        <w:keepNext w:val="0"/>
        <w:keepLines w:val="0"/>
        <w:pageBreakBefore w:val="0"/>
        <w:widowControl/>
        <w:kinsoku w:val="0"/>
        <w:wordWrap/>
        <w:overflowPunct/>
        <w:topLinePunct w:val="0"/>
        <w:autoSpaceDE w:val="0"/>
        <w:autoSpaceDN w:val="0"/>
        <w:bidi w:val="0"/>
        <w:adjustRightInd w:val="0"/>
        <w:snapToGrid w:val="0"/>
        <w:spacing w:line="560" w:lineRule="exact"/>
        <w:ind w:firstLine="468" w:firstLineChars="200"/>
        <w:textAlignment w:val="baseline"/>
        <w:rPr>
          <w:rFonts w:ascii="楷体" w:hAnsi="楷体" w:eastAsia="楷体" w:cs="楷体"/>
          <w:spacing w:val="7"/>
          <w:sz w:val="22"/>
          <w:szCs w:val="22"/>
        </w:rPr>
      </w:pPr>
      <w:r>
        <w:rPr>
          <w:rFonts w:ascii="楷体" w:hAnsi="楷体" w:eastAsia="楷体" w:cs="楷体"/>
          <w:spacing w:val="7"/>
          <w:sz w:val="22"/>
          <w:szCs w:val="22"/>
        </w:rPr>
        <w:t>注：财务数据未经审计。</w:t>
      </w:r>
    </w:p>
    <w:p w14:paraId="519FC7CB">
      <w:pPr>
        <w:keepNext w:val="0"/>
        <w:keepLines w:val="0"/>
        <w:pageBreakBefore w:val="0"/>
        <w:widowControl/>
        <w:kinsoku w:val="0"/>
        <w:wordWrap/>
        <w:overflowPunct/>
        <w:topLinePunct w:val="0"/>
        <w:autoSpaceDE w:val="0"/>
        <w:autoSpaceDN w:val="0"/>
        <w:bidi w:val="0"/>
        <w:adjustRightInd w:val="0"/>
        <w:snapToGrid w:val="0"/>
        <w:spacing w:line="560" w:lineRule="exact"/>
        <w:ind w:firstLine="468" w:firstLineChars="200"/>
        <w:textAlignment w:val="baseline"/>
        <w:rPr>
          <w:rFonts w:hint="eastAsia" w:ascii="楷体" w:hAnsi="楷体" w:eastAsia="楷体" w:cs="楷体"/>
          <w:spacing w:val="7"/>
          <w:sz w:val="22"/>
          <w:szCs w:val="22"/>
          <w:lang w:eastAsia="zh-CN"/>
        </w:rPr>
      </w:pPr>
    </w:p>
    <w:p w14:paraId="254662B2">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jc w:val="center"/>
        <w:textAlignment w:val="baseline"/>
        <w:rPr>
          <w:rFonts w:hint="eastAsia" w:ascii="黑体" w:hAnsi="黑体" w:eastAsia="黑体" w:cs="黑体"/>
          <w:spacing w:val="7"/>
          <w:sz w:val="32"/>
          <w:szCs w:val="32"/>
          <w:highlight w:val="none"/>
          <w:lang w:val="en-US" w:eastAsia="zh-CN"/>
        </w:rPr>
      </w:pPr>
      <w:r>
        <w:rPr>
          <w:rFonts w:hint="eastAsia" w:ascii="黑体" w:hAnsi="黑体" w:eastAsia="黑体" w:cs="黑体"/>
          <w:spacing w:val="7"/>
          <w:sz w:val="32"/>
          <w:szCs w:val="32"/>
          <w:highlight w:val="none"/>
          <w:lang w:val="en-US" w:eastAsia="zh-CN"/>
        </w:rPr>
        <w:t xml:space="preserve"> 资本信息</w:t>
      </w:r>
    </w:p>
    <w:p w14:paraId="7AE2CF1F">
      <w:pPr>
        <w:spacing w:line="560" w:lineRule="exact"/>
        <w:ind w:firstLine="640" w:firstLineChars="200"/>
        <w:rPr>
          <w:rFonts w:hint="default" w:ascii="Times New Roman" w:hAnsi="Times New Roman" w:eastAsia="仿宋" w:cs="Times New Roman"/>
          <w:sz w:val="32"/>
          <w:szCs w:val="32"/>
          <w:highlight w:val="yellow"/>
        </w:rPr>
      </w:pPr>
      <w:r>
        <w:rPr>
          <w:rFonts w:hint="default" w:ascii="Times New Roman" w:hAnsi="Times New Roman" w:eastAsia="仿宋" w:cs="Times New Roman"/>
          <w:b w:val="0"/>
          <w:bCs w:val="0"/>
          <w:color w:val="000000"/>
          <w:sz w:val="32"/>
          <w:szCs w:val="32"/>
          <w:lang w:eastAsia="zh-CN"/>
        </w:rPr>
        <w:t>本行</w:t>
      </w:r>
      <w:r>
        <w:rPr>
          <w:rFonts w:hint="default" w:ascii="Times New Roman" w:hAnsi="Times New Roman" w:eastAsia="仿宋" w:cs="Times New Roman"/>
          <w:sz w:val="32"/>
          <w:szCs w:val="32"/>
        </w:rPr>
        <w:t>根据国家金融监督管理总局发布的《商业银行资本管理办法》</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国家金融监督管理总局令2023年第4号</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的监管要求，通过公开官方网站，向投资者和社会公众披露本行并表口径资本充足率信息。</w:t>
      </w:r>
    </w:p>
    <w:p w14:paraId="7CA5F84B">
      <w:pPr>
        <w:pStyle w:val="15"/>
        <w:spacing w:line="560" w:lineRule="exact"/>
        <w:ind w:firstLine="640"/>
        <w:rPr>
          <w:rFonts w:hint="eastAsia" w:ascii="楷体" w:hAnsi="楷体" w:eastAsia="楷体" w:cs="楷体"/>
          <w:sz w:val="32"/>
          <w:szCs w:val="32"/>
        </w:rPr>
      </w:pPr>
      <w:r>
        <w:rPr>
          <w:rFonts w:hint="eastAsia" w:ascii="楷体" w:hAnsi="楷体" w:eastAsia="楷体" w:cs="楷体"/>
          <w:sz w:val="32"/>
          <w:szCs w:val="32"/>
          <w:lang w:eastAsia="zh-CN"/>
        </w:rPr>
        <w:t>（一）</w:t>
      </w:r>
      <w:r>
        <w:rPr>
          <w:rFonts w:hint="eastAsia" w:ascii="楷体" w:hAnsi="楷体" w:eastAsia="楷体" w:cs="楷体"/>
          <w:sz w:val="32"/>
          <w:szCs w:val="32"/>
        </w:rPr>
        <w:t>制度要求</w:t>
      </w:r>
    </w:p>
    <w:p w14:paraId="2B38196F">
      <w:pPr>
        <w:spacing w:line="56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国家金融监督管理总局对本行各级资本充足率最低要求（含储备资本2.5%）如下</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lang w:val="en-US" w:eastAsia="zh-CN"/>
        </w:rPr>
        <w:t>1）</w:t>
      </w:r>
      <w:r>
        <w:rPr>
          <w:rFonts w:hint="default" w:ascii="Times New Roman" w:hAnsi="Times New Roman" w:eastAsia="仿宋" w:cs="Times New Roman"/>
          <w:sz w:val="32"/>
          <w:szCs w:val="32"/>
        </w:rPr>
        <w:t>核心一级资本充足率不得低于7.50%</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lang w:val="en-US" w:eastAsia="zh-CN"/>
        </w:rPr>
        <w:t>2）</w:t>
      </w:r>
      <w:r>
        <w:rPr>
          <w:rFonts w:hint="default" w:ascii="Times New Roman" w:hAnsi="Times New Roman" w:eastAsia="仿宋" w:cs="Times New Roman"/>
          <w:sz w:val="32"/>
          <w:szCs w:val="32"/>
        </w:rPr>
        <w:t>一级资本充足率不得低于8.50%</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lang w:val="en-US" w:eastAsia="zh-CN"/>
        </w:rPr>
        <w:t>3）</w:t>
      </w:r>
      <w:r>
        <w:rPr>
          <w:rFonts w:hint="default" w:ascii="Times New Roman" w:hAnsi="Times New Roman" w:eastAsia="仿宋" w:cs="Times New Roman"/>
          <w:sz w:val="32"/>
          <w:szCs w:val="32"/>
        </w:rPr>
        <w:t>资本充足率不得低于10.50%。</w:t>
      </w:r>
    </w:p>
    <w:p w14:paraId="5B1EC974">
      <w:pPr>
        <w:pStyle w:val="15"/>
        <w:spacing w:line="560" w:lineRule="exact"/>
        <w:ind w:firstLine="640"/>
        <w:rPr>
          <w:rFonts w:hint="eastAsia" w:ascii="楷体" w:hAnsi="楷体" w:eastAsia="楷体" w:cs="楷体"/>
          <w:sz w:val="32"/>
          <w:szCs w:val="32"/>
          <w:lang w:eastAsia="zh-CN"/>
        </w:rPr>
      </w:pPr>
      <w:r>
        <w:rPr>
          <w:rFonts w:hint="eastAsia" w:ascii="楷体" w:hAnsi="楷体" w:eastAsia="楷体" w:cs="楷体"/>
          <w:sz w:val="32"/>
          <w:szCs w:val="32"/>
          <w:lang w:eastAsia="zh-CN"/>
        </w:rPr>
        <w:t>（二）资本充足率计量范围</w:t>
      </w:r>
    </w:p>
    <w:p w14:paraId="239012EA">
      <w:pPr>
        <w:spacing w:line="56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本行依据《商业银行资本管理办法》进行并表资本充足率计量，计量范围包括下设附属机构</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浙江龙游义商村镇银行股份有限公司。</w:t>
      </w:r>
    </w:p>
    <w:p w14:paraId="0CCCDC71">
      <w:pPr>
        <w:pStyle w:val="15"/>
        <w:spacing w:line="560" w:lineRule="exact"/>
        <w:ind w:firstLine="640"/>
        <w:rPr>
          <w:rFonts w:hint="eastAsia" w:ascii="楷体" w:hAnsi="楷体" w:eastAsia="楷体" w:cs="楷体"/>
          <w:sz w:val="32"/>
          <w:szCs w:val="32"/>
          <w:lang w:eastAsia="zh-CN"/>
        </w:rPr>
      </w:pPr>
      <w:r>
        <w:rPr>
          <w:rFonts w:hint="eastAsia" w:ascii="楷体" w:hAnsi="楷体" w:eastAsia="楷体" w:cs="楷体"/>
          <w:sz w:val="32"/>
          <w:szCs w:val="32"/>
          <w:lang w:eastAsia="zh-CN"/>
        </w:rPr>
        <w:t>（三）资产充足率及风险资产情况</w:t>
      </w:r>
    </w:p>
    <w:p w14:paraId="3D2A9415">
      <w:pPr>
        <w:spacing w:line="560" w:lineRule="exact"/>
        <w:ind w:firstLine="640" w:firstLineChars="200"/>
        <w:rPr>
          <w:rFonts w:ascii="Times New Roman" w:hAnsi="Times New Roman" w:eastAsia="仿宋_GB2312" w:cs="仿宋_GB2312"/>
          <w:sz w:val="32"/>
          <w:szCs w:val="32"/>
        </w:rPr>
      </w:pPr>
      <w:r>
        <w:rPr>
          <w:rFonts w:hint="default" w:ascii="Times New Roman" w:hAnsi="Times New Roman" w:eastAsia="仿宋" w:cs="Times New Roman"/>
          <w:sz w:val="32"/>
          <w:szCs w:val="32"/>
        </w:rPr>
        <w:t>按照《商业银行资本管理办法》规定，本行机构划分标准适用于二档商业银行，其中信用风险采用权重法计量，市场风险采用简化标准法计量，操作风险采用基本指标法计量。在计量并表资本充足率时，采用按照集团二档行统一的计量方法进行资本并表。</w:t>
      </w:r>
      <w:r>
        <w:rPr>
          <w:rFonts w:hint="eastAsia" w:ascii="Times New Roman" w:hAnsi="Times New Roman" w:eastAsia="仿宋_GB2312" w:cs="仿宋_GB2312"/>
          <w:sz w:val="32"/>
          <w:szCs w:val="32"/>
          <w:highlight w:val="none"/>
        </w:rPr>
        <w:t>截至202</w:t>
      </w:r>
      <w:r>
        <w:rPr>
          <w:rFonts w:hint="eastAsia" w:ascii="Times New Roman" w:hAnsi="Times New Roman" w:eastAsia="仿宋_GB2312" w:cs="仿宋_GB2312"/>
          <w:sz w:val="32"/>
          <w:szCs w:val="32"/>
          <w:highlight w:val="none"/>
          <w:lang w:val="en-US" w:eastAsia="zh-CN"/>
        </w:rPr>
        <w:t>6</w:t>
      </w:r>
      <w:r>
        <w:rPr>
          <w:rFonts w:hint="eastAsia" w:ascii="Times New Roman" w:hAnsi="Times New Roman" w:eastAsia="仿宋_GB2312" w:cs="仿宋_GB2312"/>
          <w:sz w:val="32"/>
          <w:szCs w:val="32"/>
          <w:highlight w:val="none"/>
        </w:rPr>
        <w:t>年</w:t>
      </w:r>
      <w:r>
        <w:rPr>
          <w:rFonts w:hint="eastAsia" w:ascii="Times New Roman" w:hAnsi="Times New Roman" w:eastAsia="仿宋_GB2312" w:cs="仿宋_GB2312"/>
          <w:sz w:val="32"/>
          <w:szCs w:val="32"/>
          <w:highlight w:val="none"/>
          <w:lang w:val="en-US" w:eastAsia="zh-CN"/>
        </w:rPr>
        <w:t>6</w:t>
      </w:r>
      <w:r>
        <w:rPr>
          <w:rFonts w:hint="eastAsia" w:ascii="Times New Roman" w:hAnsi="Times New Roman" w:eastAsia="仿宋_GB2312" w:cs="仿宋_GB2312"/>
          <w:sz w:val="32"/>
          <w:szCs w:val="32"/>
          <w:highlight w:val="none"/>
        </w:rPr>
        <w:t>月</w:t>
      </w:r>
      <w:r>
        <w:rPr>
          <w:rFonts w:hint="eastAsia" w:ascii="Times New Roman" w:hAnsi="Times New Roman" w:eastAsia="仿宋_GB2312" w:cs="仿宋_GB2312"/>
          <w:sz w:val="32"/>
          <w:szCs w:val="32"/>
          <w:highlight w:val="none"/>
          <w:lang w:val="en-US" w:eastAsia="zh-CN"/>
        </w:rPr>
        <w:t>30</w:t>
      </w:r>
      <w:r>
        <w:rPr>
          <w:rFonts w:hint="eastAsia" w:ascii="Times New Roman" w:hAnsi="Times New Roman" w:eastAsia="仿宋_GB2312" w:cs="仿宋_GB2312"/>
          <w:sz w:val="32"/>
          <w:szCs w:val="32"/>
          <w:highlight w:val="none"/>
        </w:rPr>
        <w:t>日，本行并表口径的核心一级资本净额额</w:t>
      </w:r>
      <w:r>
        <w:rPr>
          <w:rFonts w:hint="eastAsia" w:ascii="Times New Roman" w:hAnsi="Times New Roman" w:eastAsia="仿宋_GB2312" w:cs="仿宋_GB2312"/>
          <w:sz w:val="32"/>
          <w:szCs w:val="32"/>
          <w:highlight w:val="none"/>
          <w:lang w:val="en-US" w:eastAsia="zh-CN"/>
        </w:rPr>
        <w:t>120.21</w:t>
      </w:r>
      <w:r>
        <w:rPr>
          <w:rFonts w:hint="eastAsia" w:ascii="Times New Roman" w:hAnsi="Times New Roman" w:eastAsia="仿宋_GB2312" w:cs="仿宋_GB2312"/>
          <w:sz w:val="32"/>
          <w:szCs w:val="32"/>
          <w:highlight w:val="none"/>
        </w:rPr>
        <w:t>亿元，一级资本净额</w:t>
      </w:r>
      <w:r>
        <w:rPr>
          <w:rFonts w:hint="eastAsia" w:ascii="Times New Roman" w:hAnsi="Times New Roman" w:eastAsia="仿宋_GB2312" w:cs="仿宋_GB2312"/>
          <w:sz w:val="32"/>
          <w:szCs w:val="32"/>
          <w:highlight w:val="none"/>
          <w:lang w:val="en-US" w:eastAsia="zh-CN"/>
        </w:rPr>
        <w:t>120.22</w:t>
      </w:r>
      <w:r>
        <w:rPr>
          <w:rFonts w:hint="eastAsia" w:ascii="Times New Roman" w:hAnsi="Times New Roman" w:eastAsia="仿宋_GB2312" w:cs="仿宋_GB2312"/>
          <w:sz w:val="32"/>
          <w:szCs w:val="32"/>
          <w:highlight w:val="none"/>
        </w:rPr>
        <w:t>亿元，资本净额</w:t>
      </w:r>
      <w:r>
        <w:rPr>
          <w:rFonts w:hint="eastAsia" w:ascii="Times New Roman" w:hAnsi="Times New Roman" w:eastAsia="仿宋_GB2312" w:cs="仿宋_GB2312"/>
          <w:sz w:val="32"/>
          <w:szCs w:val="32"/>
          <w:highlight w:val="none"/>
          <w:lang w:val="en-US" w:eastAsia="zh-CN"/>
        </w:rPr>
        <w:t>132.62</w:t>
      </w:r>
      <w:r>
        <w:rPr>
          <w:rFonts w:hint="eastAsia" w:ascii="Times New Roman" w:hAnsi="Times New Roman" w:eastAsia="仿宋_GB2312" w:cs="仿宋_GB2312"/>
          <w:sz w:val="32"/>
          <w:szCs w:val="32"/>
          <w:highlight w:val="none"/>
        </w:rPr>
        <w:t>亿元，风险加权资产</w:t>
      </w:r>
      <w:r>
        <w:rPr>
          <w:rFonts w:hint="eastAsia" w:ascii="Times New Roman" w:hAnsi="Times New Roman" w:eastAsia="仿宋_GB2312" w:cs="仿宋_GB2312"/>
          <w:sz w:val="32"/>
          <w:szCs w:val="32"/>
          <w:highlight w:val="none"/>
          <w:lang w:val="en-US" w:eastAsia="zh-CN"/>
        </w:rPr>
        <w:t>1070.19</w:t>
      </w:r>
      <w:r>
        <w:rPr>
          <w:rFonts w:hint="eastAsia" w:ascii="Times New Roman" w:hAnsi="Times New Roman" w:eastAsia="仿宋_GB2312" w:cs="仿宋_GB2312"/>
          <w:sz w:val="32"/>
          <w:szCs w:val="32"/>
          <w:highlight w:val="none"/>
        </w:rPr>
        <w:t>亿元，核心一级资本充足率为</w:t>
      </w:r>
      <w:r>
        <w:rPr>
          <w:rFonts w:hint="eastAsia" w:ascii="Times New Roman" w:hAnsi="Times New Roman" w:eastAsia="仿宋_GB2312" w:cs="仿宋_GB2312"/>
          <w:sz w:val="32"/>
          <w:szCs w:val="32"/>
          <w:highlight w:val="none"/>
          <w:lang w:val="en-US" w:eastAsia="zh-CN"/>
        </w:rPr>
        <w:t>11.23</w:t>
      </w:r>
      <w:r>
        <w:rPr>
          <w:rFonts w:hint="eastAsia" w:ascii="Times New Roman" w:hAnsi="Times New Roman" w:eastAsia="仿宋_GB2312" w:cs="仿宋_GB2312"/>
          <w:sz w:val="32"/>
          <w:szCs w:val="32"/>
          <w:highlight w:val="none"/>
        </w:rPr>
        <w:t>%，一级资本充足率为</w:t>
      </w:r>
      <w:r>
        <w:rPr>
          <w:rFonts w:hint="eastAsia" w:ascii="Times New Roman" w:hAnsi="Times New Roman" w:eastAsia="仿宋_GB2312" w:cs="仿宋_GB2312"/>
          <w:sz w:val="32"/>
          <w:szCs w:val="32"/>
          <w:highlight w:val="none"/>
          <w:lang w:val="en-US" w:eastAsia="zh-CN"/>
        </w:rPr>
        <w:t>11.23</w:t>
      </w:r>
      <w:r>
        <w:rPr>
          <w:rFonts w:hint="eastAsia" w:ascii="Times New Roman" w:hAnsi="Times New Roman" w:eastAsia="仿宋_GB2312" w:cs="仿宋_GB2312"/>
          <w:sz w:val="32"/>
          <w:szCs w:val="32"/>
          <w:highlight w:val="none"/>
        </w:rPr>
        <w:t>%，资本充足率为</w:t>
      </w:r>
      <w:r>
        <w:rPr>
          <w:rFonts w:hint="eastAsia" w:ascii="Times New Roman" w:hAnsi="Times New Roman" w:eastAsia="仿宋_GB2312" w:cs="仿宋_GB2312"/>
          <w:sz w:val="32"/>
          <w:szCs w:val="32"/>
          <w:highlight w:val="none"/>
          <w:lang w:val="en-US" w:eastAsia="zh-CN"/>
        </w:rPr>
        <w:t>12.39</w:t>
      </w:r>
      <w:r>
        <w:rPr>
          <w:rFonts w:hint="eastAsia" w:ascii="Times New Roman" w:hAnsi="Times New Roman" w:eastAsia="仿宋_GB2312" w:cs="仿宋_GB2312"/>
          <w:sz w:val="32"/>
          <w:szCs w:val="32"/>
          <w:highlight w:val="none"/>
        </w:rPr>
        <w:t>%；调整后表内外资产余额</w:t>
      </w:r>
      <w:r>
        <w:rPr>
          <w:rFonts w:hint="eastAsia" w:ascii="Times New Roman" w:hAnsi="Times New Roman" w:eastAsia="仿宋_GB2312" w:cs="仿宋_GB2312"/>
          <w:sz w:val="32"/>
          <w:szCs w:val="32"/>
          <w:highlight w:val="none"/>
          <w:lang w:val="en-US" w:eastAsia="zh-CN"/>
        </w:rPr>
        <w:t>1629.92</w:t>
      </w:r>
      <w:r>
        <w:rPr>
          <w:rFonts w:hint="eastAsia" w:ascii="Times New Roman" w:hAnsi="Times New Roman" w:eastAsia="仿宋_GB2312" w:cs="仿宋_GB2312"/>
          <w:sz w:val="32"/>
          <w:szCs w:val="32"/>
          <w:highlight w:val="none"/>
        </w:rPr>
        <w:t>亿元，杠杆率为</w:t>
      </w:r>
      <w:r>
        <w:rPr>
          <w:rFonts w:hint="eastAsia" w:ascii="Times New Roman" w:hAnsi="Times New Roman" w:eastAsia="仿宋_GB2312" w:cs="仿宋_GB2312"/>
          <w:sz w:val="32"/>
          <w:szCs w:val="32"/>
          <w:highlight w:val="none"/>
          <w:lang w:val="en-US" w:eastAsia="zh-CN"/>
        </w:rPr>
        <w:t>7.38</w:t>
      </w:r>
      <w:r>
        <w:rPr>
          <w:rFonts w:hint="eastAsia" w:ascii="Times New Roman" w:hAnsi="Times New Roman" w:eastAsia="仿宋_GB2312" w:cs="仿宋_GB2312"/>
          <w:sz w:val="32"/>
          <w:szCs w:val="32"/>
          <w:highlight w:val="none"/>
        </w:rPr>
        <w:t>%。核心资本充足率、一级资本充足率、资本充足率和杠杆率均高于监管部门要求</w:t>
      </w:r>
      <w:r>
        <w:rPr>
          <w:rFonts w:hint="eastAsia" w:ascii="Times New Roman" w:hAnsi="Times New Roman" w:eastAsia="仿宋_GB2312" w:cs="仿宋_GB2312"/>
          <w:sz w:val="32"/>
          <w:szCs w:val="32"/>
        </w:rPr>
        <w:t>的法定值。</w:t>
      </w:r>
    </w:p>
    <w:p w14:paraId="422EDD0F">
      <w:pPr>
        <w:spacing w:line="56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根据《商业银行资本管理办法》相关规定，本季度本行需披露的报表如下:</w:t>
      </w:r>
    </w:p>
    <w:p w14:paraId="08D20187">
      <w:pPr>
        <w:spacing w:line="560" w:lineRule="exact"/>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仿宋" w:cs="Times New Roman"/>
          <w:color w:val="auto"/>
          <w:sz w:val="32"/>
          <w:szCs w:val="32"/>
          <w:lang w:val="en-US" w:eastAsia="zh-CN"/>
        </w:rPr>
        <w:t>附表1：</w:t>
      </w:r>
      <w:r>
        <w:rPr>
          <w:rFonts w:hint="default" w:ascii="Times New Roman" w:hAnsi="Times New Roman" w:eastAsia="仿宋" w:cs="Times New Roman"/>
          <w:color w:val="auto"/>
          <w:sz w:val="32"/>
          <w:szCs w:val="32"/>
          <w:highlight w:val="none"/>
          <w:lang w:val="en-US" w:eastAsia="zh-CN"/>
        </w:rPr>
        <w:t>KM1监管并表关键审慎监管指标</w:t>
      </w:r>
    </w:p>
    <w:p w14:paraId="1DFA4E8A">
      <w:pPr>
        <w:spacing w:line="560" w:lineRule="exact"/>
        <w:ind w:right="320"/>
        <w:jc w:val="right"/>
        <w:rPr>
          <w:rFonts w:hint="eastAsia" w:ascii="Times New Roman" w:hAnsi="Times New Roman" w:eastAsia="仿宋_GB2312" w:cs="仿宋_GB2312"/>
          <w:sz w:val="24"/>
          <w:szCs w:val="24"/>
        </w:rPr>
      </w:pPr>
      <w:r>
        <w:rPr>
          <w:rFonts w:hint="eastAsia" w:ascii="Times New Roman" w:hAnsi="Times New Roman" w:eastAsia="仿宋_GB2312" w:cs="仿宋_GB2312"/>
          <w:sz w:val="32"/>
          <w:szCs w:val="32"/>
          <w:lang w:val="en-US" w:eastAsia="zh-CN"/>
        </w:rPr>
        <w:t xml:space="preserve">                                    </w:t>
      </w:r>
      <w:r>
        <w:rPr>
          <w:rFonts w:hint="eastAsia" w:ascii="Times New Roman" w:hAnsi="Times New Roman" w:eastAsia="仿宋_GB2312" w:cs="仿宋_GB2312"/>
          <w:sz w:val="24"/>
          <w:szCs w:val="24"/>
        </w:rPr>
        <w:t>单位：</w:t>
      </w:r>
      <w:r>
        <w:rPr>
          <w:rFonts w:hint="eastAsia" w:ascii="Times New Roman" w:hAnsi="Times New Roman" w:eastAsia="仿宋_GB2312" w:cs="仿宋_GB2312"/>
          <w:sz w:val="24"/>
          <w:szCs w:val="24"/>
          <w:lang w:eastAsia="zh-CN"/>
        </w:rPr>
        <w:t>人民币</w:t>
      </w:r>
      <w:r>
        <w:rPr>
          <w:rFonts w:hint="eastAsia" w:ascii="Times New Roman" w:hAnsi="Times New Roman" w:eastAsia="仿宋_GB2312" w:cs="仿宋_GB2312"/>
          <w:sz w:val="24"/>
          <w:szCs w:val="24"/>
        </w:rPr>
        <w:t>万元、%</w:t>
      </w:r>
    </w:p>
    <w:tbl>
      <w:tblPr>
        <w:tblStyle w:val="6"/>
        <w:tblW w:w="5236" w:type="pct"/>
        <w:tblInd w:w="0" w:type="dxa"/>
        <w:tblLayout w:type="fixed"/>
        <w:tblCellMar>
          <w:top w:w="0" w:type="dxa"/>
          <w:left w:w="108" w:type="dxa"/>
          <w:bottom w:w="0" w:type="dxa"/>
          <w:right w:w="108" w:type="dxa"/>
        </w:tblCellMar>
      </w:tblPr>
      <w:tblGrid>
        <w:gridCol w:w="477"/>
        <w:gridCol w:w="2228"/>
        <w:gridCol w:w="1338"/>
        <w:gridCol w:w="1327"/>
        <w:gridCol w:w="1327"/>
        <w:gridCol w:w="1327"/>
        <w:gridCol w:w="1347"/>
      </w:tblGrid>
      <w:tr w14:paraId="2A3D558C">
        <w:tblPrEx>
          <w:tblCellMar>
            <w:top w:w="0" w:type="dxa"/>
            <w:left w:w="108" w:type="dxa"/>
            <w:bottom w:w="0" w:type="dxa"/>
            <w:right w:w="108" w:type="dxa"/>
          </w:tblCellMar>
        </w:tblPrEx>
        <w:trPr>
          <w:trHeight w:val="567" w:hRule="exact"/>
        </w:trPr>
        <w:tc>
          <w:tcPr>
            <w:tcW w:w="1443" w:type="pct"/>
            <w:gridSpan w:val="2"/>
            <w:tcBorders>
              <w:top w:val="single" w:color="000000" w:sz="4" w:space="0"/>
              <w:left w:val="single" w:color="000000" w:sz="4" w:space="0"/>
              <w:bottom w:val="single" w:color="000000" w:sz="4" w:space="0"/>
              <w:right w:val="single" w:color="000000" w:sz="4" w:space="0"/>
            </w:tcBorders>
            <w:noWrap w:val="0"/>
            <w:vAlign w:val="center"/>
          </w:tcPr>
          <w:p w14:paraId="383B0CE2">
            <w:pPr>
              <w:widowControl/>
              <w:jc w:val="center"/>
              <w:textAlignment w:val="top"/>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项目</w:t>
            </w:r>
          </w:p>
        </w:tc>
        <w:tc>
          <w:tcPr>
            <w:tcW w:w="713" w:type="pct"/>
            <w:tcBorders>
              <w:top w:val="single" w:color="000000" w:sz="4" w:space="0"/>
              <w:left w:val="single" w:color="000000" w:sz="4" w:space="0"/>
              <w:bottom w:val="single" w:color="000000" w:sz="4" w:space="0"/>
              <w:right w:val="single" w:color="000000" w:sz="4" w:space="0"/>
            </w:tcBorders>
            <w:noWrap w:val="0"/>
            <w:vAlign w:val="center"/>
          </w:tcPr>
          <w:p w14:paraId="1E27C854">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202</w:t>
            </w:r>
            <w:r>
              <w:rPr>
                <w:rFonts w:hint="eastAsia" w:ascii="Times New Roman" w:hAnsi="Times New Roman" w:eastAsia="仿宋_GB2312" w:cs="仿宋_GB2312"/>
                <w:color w:val="000000"/>
                <w:kern w:val="0"/>
                <w:sz w:val="21"/>
                <w:szCs w:val="21"/>
                <w:highlight w:val="none"/>
                <w:lang w:val="en-US" w:eastAsia="zh-CN" w:bidi="ar"/>
              </w:rPr>
              <w:t>6</w:t>
            </w:r>
            <w:r>
              <w:rPr>
                <w:rFonts w:hint="eastAsia" w:ascii="Times New Roman" w:hAnsi="Times New Roman" w:eastAsia="仿宋_GB2312" w:cs="仿宋_GB2312"/>
                <w:color w:val="000000"/>
                <w:kern w:val="0"/>
                <w:sz w:val="21"/>
                <w:szCs w:val="21"/>
                <w:highlight w:val="none"/>
                <w:lang w:bidi="ar"/>
              </w:rPr>
              <w:t>年</w:t>
            </w:r>
            <w:r>
              <w:rPr>
                <w:rFonts w:hint="eastAsia" w:ascii="Times New Roman" w:hAnsi="Times New Roman" w:eastAsia="仿宋_GB2312" w:cs="仿宋_GB2312"/>
                <w:color w:val="000000"/>
                <w:kern w:val="0"/>
                <w:sz w:val="21"/>
                <w:szCs w:val="21"/>
                <w:highlight w:val="none"/>
                <w:lang w:val="en-US" w:eastAsia="zh-CN" w:bidi="ar"/>
              </w:rPr>
              <w:t>6</w:t>
            </w:r>
            <w:r>
              <w:rPr>
                <w:rFonts w:hint="eastAsia" w:ascii="Times New Roman" w:hAnsi="Times New Roman" w:eastAsia="仿宋_GB2312" w:cs="仿宋_GB2312"/>
                <w:color w:val="000000"/>
                <w:kern w:val="0"/>
                <w:sz w:val="21"/>
                <w:szCs w:val="21"/>
                <w:highlight w:val="none"/>
                <w:lang w:bidi="ar"/>
              </w:rPr>
              <w:t>月</w:t>
            </w:r>
          </w:p>
        </w:tc>
        <w:tc>
          <w:tcPr>
            <w:tcW w:w="708" w:type="pct"/>
            <w:tcBorders>
              <w:top w:val="single" w:color="000000" w:sz="4" w:space="0"/>
              <w:left w:val="single" w:color="000000" w:sz="4" w:space="0"/>
              <w:bottom w:val="single" w:color="000000" w:sz="4" w:space="0"/>
              <w:right w:val="single" w:color="000000" w:sz="4" w:space="0"/>
            </w:tcBorders>
            <w:noWrap w:val="0"/>
            <w:vAlign w:val="center"/>
          </w:tcPr>
          <w:p w14:paraId="0C1CF18C">
            <w:pPr>
              <w:widowControl/>
              <w:jc w:val="center"/>
              <w:textAlignment w:val="center"/>
              <w:rPr>
                <w:rFonts w:hint="default" w:ascii="Times New Roman" w:hAnsi="Times New Roman" w:eastAsia="仿宋_GB2312" w:cs="仿宋_GB2312"/>
                <w:color w:val="000000"/>
                <w:kern w:val="0"/>
                <w:sz w:val="21"/>
                <w:szCs w:val="21"/>
                <w:lang w:val="en-US" w:eastAsia="zh-CN" w:bidi="ar"/>
              </w:rPr>
            </w:pPr>
            <w:r>
              <w:rPr>
                <w:rFonts w:hint="eastAsia" w:ascii="Times New Roman" w:hAnsi="Times New Roman" w:eastAsia="仿宋_GB2312" w:cs="仿宋_GB2312"/>
                <w:color w:val="000000"/>
                <w:kern w:val="0"/>
                <w:sz w:val="21"/>
                <w:szCs w:val="21"/>
                <w:lang w:val="en-US" w:eastAsia="zh-CN" w:bidi="ar"/>
              </w:rPr>
              <w:t>2026年3月</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1A2FC9C4">
            <w:pPr>
              <w:widowControl/>
              <w:jc w:val="center"/>
              <w:textAlignment w:val="center"/>
              <w:rPr>
                <w:rFonts w:hint="default" w:ascii="Times New Roman" w:hAnsi="Times New Roman" w:eastAsia="仿宋_GB2312" w:cs="仿宋_GB2312"/>
                <w:color w:val="000000"/>
                <w:kern w:val="0"/>
                <w:sz w:val="21"/>
                <w:szCs w:val="21"/>
                <w:lang w:val="en-US" w:eastAsia="zh-CN" w:bidi="ar"/>
              </w:rPr>
            </w:pPr>
            <w:r>
              <w:rPr>
                <w:rFonts w:hint="eastAsia" w:ascii="Times New Roman" w:hAnsi="Times New Roman" w:eastAsia="仿宋_GB2312" w:cs="仿宋_GB2312"/>
                <w:color w:val="000000"/>
                <w:kern w:val="0"/>
                <w:sz w:val="21"/>
                <w:szCs w:val="21"/>
                <w:lang w:val="en-US" w:eastAsia="zh-CN" w:bidi="ar"/>
              </w:rPr>
              <w:t>2025年12月</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4DE56387">
            <w:pPr>
              <w:widowControl/>
              <w:jc w:val="center"/>
              <w:textAlignment w:val="center"/>
              <w:rPr>
                <w:rFonts w:hint="eastAsia" w:ascii="Times New Roman" w:hAnsi="Times New Roman" w:eastAsia="仿宋_GB2312" w:cs="仿宋_GB2312"/>
                <w:color w:val="000000"/>
                <w:kern w:val="0"/>
                <w:sz w:val="21"/>
                <w:szCs w:val="21"/>
                <w:lang w:bidi="ar"/>
              </w:rPr>
            </w:pPr>
            <w:r>
              <w:rPr>
                <w:rFonts w:hint="eastAsia" w:ascii="Times New Roman" w:hAnsi="Times New Roman" w:eastAsia="仿宋_GB2312" w:cs="仿宋_GB2312"/>
                <w:color w:val="000000"/>
                <w:kern w:val="0"/>
                <w:sz w:val="21"/>
                <w:szCs w:val="21"/>
                <w:lang w:val="en-US" w:eastAsia="zh-CN" w:bidi="ar"/>
              </w:rPr>
              <w:t>2025年9月</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3B043C77">
            <w:pPr>
              <w:widowControl/>
              <w:jc w:val="center"/>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val="en-US" w:eastAsia="zh-CN" w:bidi="ar"/>
              </w:rPr>
              <w:t>2025年6月</w:t>
            </w:r>
          </w:p>
        </w:tc>
      </w:tr>
      <w:tr w14:paraId="797F58F8">
        <w:tblPrEx>
          <w:tblCellMar>
            <w:top w:w="0" w:type="dxa"/>
            <w:left w:w="108" w:type="dxa"/>
            <w:bottom w:w="0" w:type="dxa"/>
            <w:right w:w="108" w:type="dxa"/>
          </w:tblCellMar>
        </w:tblPrEx>
        <w:trPr>
          <w:trHeight w:val="482" w:hRule="exact"/>
        </w:trPr>
        <w:tc>
          <w:tcPr>
            <w:tcW w:w="254"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5D603F1">
            <w:pPr>
              <w:rPr>
                <w:rFonts w:hint="eastAsia" w:ascii="Times New Roman" w:hAnsi="Times New Roman" w:eastAsia="仿宋_GB2312" w:cs="仿宋_GB2312"/>
                <w:b/>
                <w:bCs/>
                <w:color w:val="000000"/>
                <w:sz w:val="21"/>
                <w:szCs w:val="21"/>
                <w:highlight w:val="none"/>
              </w:rPr>
            </w:pPr>
          </w:p>
        </w:tc>
        <w:tc>
          <w:tcPr>
            <w:tcW w:w="1902" w:type="pct"/>
            <w:gridSpan w:val="2"/>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83F005C">
            <w:pPr>
              <w:widowControl/>
              <w:jc w:val="left"/>
              <w:textAlignment w:val="top"/>
              <w:rPr>
                <w:rFonts w:hint="eastAsia" w:ascii="Times New Roman" w:hAnsi="Times New Roman" w:eastAsia="仿宋_GB2312" w:cs="仿宋_GB2312"/>
                <w:b/>
                <w:bCs/>
                <w:color w:val="000000"/>
                <w:sz w:val="21"/>
                <w:szCs w:val="21"/>
                <w:highlight w:val="none"/>
              </w:rPr>
            </w:pPr>
            <w:r>
              <w:rPr>
                <w:rFonts w:hint="eastAsia" w:ascii="Times New Roman" w:hAnsi="Times New Roman" w:eastAsia="仿宋_GB2312" w:cs="仿宋_GB2312"/>
                <w:b/>
                <w:bCs/>
                <w:color w:val="000000"/>
                <w:kern w:val="0"/>
                <w:sz w:val="21"/>
                <w:szCs w:val="21"/>
                <w:highlight w:val="none"/>
                <w:lang w:bidi="ar"/>
              </w:rPr>
              <w:t>可用资本（数额）</w:t>
            </w:r>
          </w:p>
        </w:tc>
        <w:tc>
          <w:tcPr>
            <w:tcW w:w="708"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033C4C5D">
            <w:pPr>
              <w:widowControl/>
              <w:jc w:val="left"/>
              <w:textAlignment w:val="top"/>
              <w:rPr>
                <w:rFonts w:hint="eastAsia" w:ascii="Times New Roman" w:hAnsi="Times New Roman" w:eastAsia="仿宋_GB2312" w:cs="仿宋_GB2312"/>
                <w:b/>
                <w:bCs/>
                <w:color w:val="000000"/>
                <w:kern w:val="0"/>
                <w:sz w:val="21"/>
                <w:szCs w:val="21"/>
                <w:lang w:bidi="ar"/>
              </w:rPr>
            </w:pPr>
          </w:p>
        </w:tc>
        <w:tc>
          <w:tcPr>
            <w:tcW w:w="1352"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0372776B">
            <w:pPr>
              <w:widowControl/>
              <w:jc w:val="left"/>
              <w:textAlignment w:val="top"/>
              <w:rPr>
                <w:rFonts w:hint="eastAsia" w:ascii="Times New Roman" w:hAnsi="Times New Roman" w:eastAsia="仿宋_GB2312" w:cs="仿宋_GB2312"/>
                <w:b/>
                <w:bCs/>
                <w:color w:val="000000"/>
                <w:kern w:val="0"/>
                <w:sz w:val="21"/>
                <w:szCs w:val="21"/>
                <w:lang w:bidi="ar"/>
              </w:rPr>
            </w:pPr>
          </w:p>
        </w:tc>
        <w:tc>
          <w:tcPr>
            <w:tcW w:w="1352"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57B3F002">
            <w:pPr>
              <w:widowControl/>
              <w:jc w:val="left"/>
              <w:textAlignment w:val="top"/>
              <w:rPr>
                <w:rFonts w:hint="eastAsia" w:ascii="Times New Roman" w:hAnsi="Times New Roman" w:eastAsia="仿宋_GB2312" w:cs="仿宋_GB2312"/>
                <w:b/>
                <w:bCs/>
                <w:color w:val="000000"/>
                <w:kern w:val="0"/>
                <w:sz w:val="21"/>
                <w:szCs w:val="21"/>
                <w:lang w:bidi="ar"/>
              </w:rPr>
            </w:pPr>
          </w:p>
        </w:tc>
        <w:tc>
          <w:tcPr>
            <w:tcW w:w="1373"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4918EDDC">
            <w:pPr>
              <w:widowControl/>
              <w:jc w:val="left"/>
              <w:textAlignment w:val="top"/>
              <w:rPr>
                <w:rFonts w:hint="eastAsia" w:ascii="Times New Roman" w:hAnsi="Times New Roman" w:eastAsia="仿宋_GB2312" w:cs="仿宋_GB2312"/>
                <w:b/>
                <w:bCs/>
                <w:color w:val="000000"/>
                <w:kern w:val="0"/>
                <w:sz w:val="21"/>
                <w:szCs w:val="21"/>
                <w:lang w:bidi="ar"/>
              </w:rPr>
            </w:pPr>
          </w:p>
        </w:tc>
      </w:tr>
      <w:tr w14:paraId="5E26A5E4">
        <w:tblPrEx>
          <w:tblCellMar>
            <w:top w:w="0" w:type="dxa"/>
            <w:left w:w="108" w:type="dxa"/>
            <w:bottom w:w="0" w:type="dxa"/>
            <w:right w:w="108" w:type="dxa"/>
          </w:tblCellMar>
        </w:tblPrEx>
        <w:trPr>
          <w:trHeight w:val="482" w:hRule="exact"/>
        </w:trPr>
        <w:tc>
          <w:tcPr>
            <w:tcW w:w="254" w:type="pct"/>
            <w:tcBorders>
              <w:top w:val="single" w:color="000000" w:sz="4" w:space="0"/>
              <w:left w:val="single" w:color="000000" w:sz="4" w:space="0"/>
              <w:bottom w:val="single" w:color="000000" w:sz="4" w:space="0"/>
              <w:right w:val="single" w:color="000000" w:sz="4" w:space="0"/>
            </w:tcBorders>
            <w:noWrap w:val="0"/>
            <w:vAlign w:val="center"/>
          </w:tcPr>
          <w:p w14:paraId="6908DAB5">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14:paraId="5700FCC5">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核心一级资本净额</w:t>
            </w:r>
          </w:p>
        </w:tc>
        <w:tc>
          <w:tcPr>
            <w:tcW w:w="713" w:type="pct"/>
            <w:tcBorders>
              <w:top w:val="single" w:color="000000" w:sz="4" w:space="0"/>
              <w:left w:val="single" w:color="000000" w:sz="4" w:space="0"/>
              <w:bottom w:val="single" w:color="000000" w:sz="4" w:space="0"/>
              <w:right w:val="single" w:color="000000" w:sz="4" w:space="0"/>
            </w:tcBorders>
            <w:noWrap w:val="0"/>
            <w:vAlign w:val="center"/>
          </w:tcPr>
          <w:p w14:paraId="31FB7DEF">
            <w:pPr>
              <w:widowControl/>
              <w:jc w:val="left"/>
              <w:textAlignment w:val="center"/>
              <w:rPr>
                <w:rFonts w:hint="default"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1202127.62</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2D5B22C4">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1182651.04</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537BF094">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highlight w:val="none"/>
                <w:lang w:val="en-US" w:eastAsia="zh-CN"/>
              </w:rPr>
              <w:t>1144434.97</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7CE3D348">
            <w:pPr>
              <w:widowControl/>
              <w:jc w:val="left"/>
              <w:textAlignment w:val="center"/>
              <w:rPr>
                <w:rFonts w:hint="eastAsia"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sz w:val="21"/>
                <w:szCs w:val="21"/>
                <w:lang w:val="en-US" w:eastAsia="zh-CN"/>
              </w:rPr>
              <w:t>1131114.74</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500E69BE">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1155026.74</w:t>
            </w:r>
          </w:p>
        </w:tc>
      </w:tr>
      <w:tr w14:paraId="48FF7915">
        <w:tblPrEx>
          <w:tblCellMar>
            <w:top w:w="0" w:type="dxa"/>
            <w:left w:w="108" w:type="dxa"/>
            <w:bottom w:w="0" w:type="dxa"/>
            <w:right w:w="108" w:type="dxa"/>
          </w:tblCellMar>
        </w:tblPrEx>
        <w:trPr>
          <w:trHeight w:val="482" w:hRule="exact"/>
        </w:trPr>
        <w:tc>
          <w:tcPr>
            <w:tcW w:w="254" w:type="pct"/>
            <w:tcBorders>
              <w:top w:val="single" w:color="000000" w:sz="4" w:space="0"/>
              <w:left w:val="single" w:color="000000" w:sz="4" w:space="0"/>
              <w:bottom w:val="single" w:color="000000" w:sz="4" w:space="0"/>
              <w:right w:val="single" w:color="000000" w:sz="4" w:space="0"/>
            </w:tcBorders>
            <w:noWrap w:val="0"/>
            <w:vAlign w:val="center"/>
          </w:tcPr>
          <w:p w14:paraId="1205F712">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2</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14:paraId="24AF904E">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一级资本净额</w:t>
            </w:r>
          </w:p>
        </w:tc>
        <w:tc>
          <w:tcPr>
            <w:tcW w:w="713" w:type="pct"/>
            <w:tcBorders>
              <w:top w:val="single" w:color="000000" w:sz="4" w:space="0"/>
              <w:left w:val="single" w:color="000000" w:sz="4" w:space="0"/>
              <w:bottom w:val="single" w:color="000000" w:sz="4" w:space="0"/>
              <w:right w:val="single" w:color="000000" w:sz="4" w:space="0"/>
            </w:tcBorders>
            <w:noWrap w:val="0"/>
            <w:vAlign w:val="center"/>
          </w:tcPr>
          <w:p w14:paraId="5513CC40">
            <w:pPr>
              <w:widowControl/>
              <w:jc w:val="left"/>
              <w:textAlignment w:val="center"/>
              <w:rPr>
                <w:rFonts w:hint="default"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1202230.77</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0B04D4D9">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1182755.32</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24877DB5">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highlight w:val="none"/>
                <w:lang w:val="en-US" w:eastAsia="zh-CN"/>
              </w:rPr>
              <w:t>1144538.06</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1CD44201">
            <w:pPr>
              <w:widowControl/>
              <w:jc w:val="left"/>
              <w:textAlignment w:val="center"/>
              <w:rPr>
                <w:rFonts w:hint="eastAsia"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sz w:val="21"/>
                <w:szCs w:val="21"/>
                <w:lang w:val="en-US" w:eastAsia="zh-CN"/>
              </w:rPr>
              <w:t>1131218.46</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651296B6">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1155179.40</w:t>
            </w:r>
          </w:p>
        </w:tc>
      </w:tr>
      <w:tr w14:paraId="7BDF224E">
        <w:tblPrEx>
          <w:tblCellMar>
            <w:top w:w="0" w:type="dxa"/>
            <w:left w:w="108" w:type="dxa"/>
            <w:bottom w:w="0" w:type="dxa"/>
            <w:right w:w="108" w:type="dxa"/>
          </w:tblCellMar>
        </w:tblPrEx>
        <w:trPr>
          <w:trHeight w:val="482" w:hRule="exact"/>
        </w:trPr>
        <w:tc>
          <w:tcPr>
            <w:tcW w:w="254" w:type="pct"/>
            <w:tcBorders>
              <w:top w:val="single" w:color="000000" w:sz="4" w:space="0"/>
              <w:left w:val="single" w:color="000000" w:sz="4" w:space="0"/>
              <w:bottom w:val="single" w:color="000000" w:sz="4" w:space="0"/>
              <w:right w:val="single" w:color="000000" w:sz="4" w:space="0"/>
            </w:tcBorders>
            <w:noWrap w:val="0"/>
            <w:vAlign w:val="center"/>
          </w:tcPr>
          <w:p w14:paraId="49BCA527">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3</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14:paraId="06583E3F">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资本净额</w:t>
            </w:r>
          </w:p>
        </w:tc>
        <w:tc>
          <w:tcPr>
            <w:tcW w:w="713" w:type="pct"/>
            <w:tcBorders>
              <w:top w:val="single" w:color="000000" w:sz="4" w:space="0"/>
              <w:left w:val="single" w:color="000000" w:sz="4" w:space="0"/>
              <w:bottom w:val="single" w:color="000000" w:sz="4" w:space="0"/>
              <w:right w:val="single" w:color="000000" w:sz="4" w:space="0"/>
            </w:tcBorders>
            <w:noWrap w:val="0"/>
            <w:vAlign w:val="center"/>
          </w:tcPr>
          <w:p w14:paraId="46FFEA19">
            <w:pPr>
              <w:widowControl/>
              <w:jc w:val="left"/>
              <w:textAlignment w:val="center"/>
              <w:rPr>
                <w:rFonts w:hint="default"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1326230.16</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4E4ACBF1">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1306007.21</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407DD25C">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highlight w:val="none"/>
                <w:lang w:val="en-US" w:eastAsia="zh-CN"/>
              </w:rPr>
              <w:t>1261263.91</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61C275FA">
            <w:pPr>
              <w:widowControl/>
              <w:jc w:val="left"/>
              <w:textAlignment w:val="center"/>
              <w:rPr>
                <w:rFonts w:hint="eastAsia"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sz w:val="21"/>
                <w:szCs w:val="21"/>
                <w:lang w:val="en-US" w:eastAsia="zh-CN"/>
              </w:rPr>
              <w:t>1249803.78</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3D543CEE">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1270769.42</w:t>
            </w:r>
          </w:p>
        </w:tc>
      </w:tr>
      <w:tr w14:paraId="00FCD197">
        <w:tblPrEx>
          <w:tblCellMar>
            <w:top w:w="0" w:type="dxa"/>
            <w:left w:w="108" w:type="dxa"/>
            <w:bottom w:w="0" w:type="dxa"/>
            <w:right w:w="108" w:type="dxa"/>
          </w:tblCellMar>
        </w:tblPrEx>
        <w:trPr>
          <w:trHeight w:val="482" w:hRule="exact"/>
        </w:trPr>
        <w:tc>
          <w:tcPr>
            <w:tcW w:w="254" w:type="pct"/>
            <w:tcBorders>
              <w:top w:val="single" w:color="000000" w:sz="4" w:space="0"/>
              <w:left w:val="single" w:color="000000" w:sz="4" w:space="0"/>
              <w:bottom w:val="single" w:color="000000" w:sz="4" w:space="0"/>
              <w:right w:val="single" w:color="000000" w:sz="4" w:space="0"/>
            </w:tcBorders>
            <w:shd w:val="clear" w:color="auto" w:fill="D9D9D9"/>
            <w:noWrap w:val="0"/>
            <w:vAlign w:val="top"/>
          </w:tcPr>
          <w:p w14:paraId="5FFE610F">
            <w:pPr>
              <w:rPr>
                <w:rFonts w:hint="eastAsia" w:ascii="Times New Roman" w:hAnsi="Times New Roman" w:eastAsia="仿宋_GB2312" w:cs="仿宋_GB2312"/>
                <w:b/>
                <w:bCs/>
                <w:color w:val="000000"/>
                <w:sz w:val="21"/>
                <w:szCs w:val="21"/>
                <w:highlight w:val="none"/>
              </w:rPr>
            </w:pPr>
          </w:p>
        </w:tc>
        <w:tc>
          <w:tcPr>
            <w:tcW w:w="1902" w:type="pct"/>
            <w:gridSpan w:val="2"/>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402E35A0">
            <w:pPr>
              <w:widowControl/>
              <w:jc w:val="left"/>
              <w:textAlignment w:val="top"/>
              <w:rPr>
                <w:rFonts w:hint="eastAsia" w:ascii="Times New Roman" w:hAnsi="Times New Roman" w:eastAsia="仿宋_GB2312" w:cs="仿宋_GB2312"/>
                <w:b/>
                <w:bCs/>
                <w:color w:val="000000"/>
                <w:sz w:val="21"/>
                <w:szCs w:val="21"/>
                <w:highlight w:val="none"/>
              </w:rPr>
            </w:pPr>
            <w:r>
              <w:rPr>
                <w:rFonts w:hint="eastAsia" w:ascii="Times New Roman" w:hAnsi="Times New Roman" w:eastAsia="仿宋_GB2312" w:cs="仿宋_GB2312"/>
                <w:b/>
                <w:bCs/>
                <w:color w:val="000000"/>
                <w:kern w:val="0"/>
                <w:sz w:val="21"/>
                <w:szCs w:val="21"/>
                <w:highlight w:val="none"/>
                <w:lang w:bidi="ar"/>
              </w:rPr>
              <w:t>风险加权资产（数额）</w:t>
            </w:r>
          </w:p>
        </w:tc>
        <w:tc>
          <w:tcPr>
            <w:tcW w:w="708"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1E0908EA">
            <w:pPr>
              <w:widowControl/>
              <w:jc w:val="left"/>
              <w:textAlignment w:val="top"/>
              <w:rPr>
                <w:rFonts w:hint="eastAsia" w:ascii="Times New Roman" w:hAnsi="Times New Roman" w:eastAsia="仿宋_GB2312" w:cs="仿宋_GB2312"/>
                <w:b/>
                <w:bCs/>
                <w:color w:val="000000"/>
                <w:kern w:val="0"/>
                <w:sz w:val="21"/>
                <w:szCs w:val="21"/>
                <w:lang w:bidi="ar"/>
              </w:rPr>
            </w:pPr>
          </w:p>
        </w:tc>
        <w:tc>
          <w:tcPr>
            <w:tcW w:w="1352"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30B180CE">
            <w:pPr>
              <w:widowControl/>
              <w:jc w:val="left"/>
              <w:textAlignment w:val="top"/>
              <w:rPr>
                <w:rFonts w:hint="eastAsia" w:ascii="Times New Roman" w:hAnsi="Times New Roman" w:eastAsia="仿宋_GB2312" w:cs="仿宋_GB2312"/>
                <w:b/>
                <w:bCs/>
                <w:color w:val="000000"/>
                <w:kern w:val="0"/>
                <w:sz w:val="21"/>
                <w:szCs w:val="21"/>
                <w:lang w:bidi="ar"/>
              </w:rPr>
            </w:pPr>
          </w:p>
        </w:tc>
        <w:tc>
          <w:tcPr>
            <w:tcW w:w="1352"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163E706">
            <w:pPr>
              <w:widowControl/>
              <w:jc w:val="left"/>
              <w:textAlignment w:val="top"/>
              <w:rPr>
                <w:rFonts w:hint="eastAsia" w:ascii="Times New Roman" w:hAnsi="Times New Roman" w:eastAsia="仿宋_GB2312" w:cs="仿宋_GB2312"/>
                <w:b/>
                <w:bCs/>
                <w:color w:val="000000"/>
                <w:kern w:val="0"/>
                <w:sz w:val="21"/>
                <w:szCs w:val="21"/>
                <w:lang w:bidi="ar"/>
              </w:rPr>
            </w:pPr>
          </w:p>
        </w:tc>
        <w:tc>
          <w:tcPr>
            <w:tcW w:w="1373"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0161C2BF">
            <w:pPr>
              <w:widowControl/>
              <w:jc w:val="left"/>
              <w:textAlignment w:val="top"/>
              <w:rPr>
                <w:rFonts w:hint="eastAsia" w:ascii="Times New Roman" w:hAnsi="Times New Roman" w:eastAsia="仿宋_GB2312" w:cs="仿宋_GB2312"/>
                <w:b/>
                <w:bCs/>
                <w:color w:val="000000"/>
                <w:kern w:val="0"/>
                <w:sz w:val="21"/>
                <w:szCs w:val="21"/>
                <w:lang w:bidi="ar"/>
              </w:rPr>
            </w:pPr>
          </w:p>
        </w:tc>
      </w:tr>
      <w:tr w14:paraId="4C715261">
        <w:tblPrEx>
          <w:tblCellMar>
            <w:top w:w="0" w:type="dxa"/>
            <w:left w:w="108" w:type="dxa"/>
            <w:bottom w:w="0" w:type="dxa"/>
            <w:right w:w="108" w:type="dxa"/>
          </w:tblCellMar>
        </w:tblPrEx>
        <w:trPr>
          <w:trHeight w:val="482" w:hRule="exact"/>
        </w:trPr>
        <w:tc>
          <w:tcPr>
            <w:tcW w:w="254" w:type="pct"/>
            <w:tcBorders>
              <w:top w:val="single" w:color="000000" w:sz="4" w:space="0"/>
              <w:left w:val="single" w:color="000000" w:sz="4" w:space="0"/>
              <w:bottom w:val="single" w:color="000000" w:sz="4" w:space="0"/>
              <w:right w:val="single" w:color="000000" w:sz="4" w:space="0"/>
            </w:tcBorders>
            <w:noWrap w:val="0"/>
            <w:vAlign w:val="center"/>
          </w:tcPr>
          <w:p w14:paraId="05A473AB">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4</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14:paraId="5BEC056B">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风险加权资产</w:t>
            </w:r>
          </w:p>
        </w:tc>
        <w:tc>
          <w:tcPr>
            <w:tcW w:w="713" w:type="pct"/>
            <w:tcBorders>
              <w:top w:val="single" w:color="000000" w:sz="4" w:space="0"/>
              <w:left w:val="single" w:color="000000" w:sz="4" w:space="0"/>
              <w:bottom w:val="single" w:color="000000" w:sz="4" w:space="0"/>
              <w:right w:val="single" w:color="000000" w:sz="4" w:space="0"/>
            </w:tcBorders>
            <w:noWrap w:val="0"/>
            <w:vAlign w:val="center"/>
          </w:tcPr>
          <w:p w14:paraId="6637C9EE">
            <w:pPr>
              <w:widowControl/>
              <w:jc w:val="left"/>
              <w:textAlignment w:val="center"/>
              <w:rPr>
                <w:rFonts w:hint="default" w:ascii="Times New Roman" w:hAnsi="Times New Roman" w:eastAsia="仿宋_GB2312" w:cs="仿宋_GB2312"/>
                <w:color w:val="000000"/>
                <w:sz w:val="21"/>
                <w:szCs w:val="21"/>
                <w:highlight w:val="none"/>
                <w:lang w:val="en-US"/>
              </w:rPr>
            </w:pPr>
            <w:r>
              <w:rPr>
                <w:rFonts w:hint="eastAsia" w:ascii="Times New Roman" w:hAnsi="Times New Roman" w:eastAsia="仿宋_GB2312" w:cs="仿宋_GB2312"/>
                <w:color w:val="000000"/>
                <w:kern w:val="0"/>
                <w:sz w:val="21"/>
                <w:szCs w:val="21"/>
                <w:highlight w:val="none"/>
                <w:lang w:val="en-US" w:eastAsia="zh-CN" w:bidi="ar"/>
              </w:rPr>
              <w:t>10701912.46</w:t>
            </w:r>
          </w:p>
        </w:tc>
        <w:tc>
          <w:tcPr>
            <w:tcW w:w="708" w:type="pct"/>
            <w:tcBorders>
              <w:top w:val="single" w:color="000000" w:sz="4" w:space="0"/>
              <w:left w:val="single" w:color="000000" w:sz="4" w:space="0"/>
              <w:bottom w:val="single" w:color="000000" w:sz="4" w:space="0"/>
              <w:right w:val="single" w:color="000000" w:sz="4" w:space="0"/>
            </w:tcBorders>
            <w:noWrap w:val="0"/>
            <w:vAlign w:val="center"/>
          </w:tcPr>
          <w:p w14:paraId="2B21F64B">
            <w:pPr>
              <w:widowControl/>
              <w:jc w:val="left"/>
              <w:textAlignment w:val="center"/>
              <w:rPr>
                <w:rFonts w:hint="eastAsia" w:ascii="Times New Roman" w:hAnsi="Times New Roman" w:eastAsia="仿宋_GB2312" w:cs="仿宋_GB2312"/>
                <w:color w:val="000000"/>
                <w:kern w:val="0"/>
                <w:sz w:val="21"/>
                <w:szCs w:val="21"/>
                <w:lang w:val="en-US" w:eastAsia="zh-CN" w:bidi="ar"/>
              </w:rPr>
            </w:pPr>
            <w:r>
              <w:rPr>
                <w:rFonts w:hint="eastAsia" w:ascii="Times New Roman" w:hAnsi="Times New Roman" w:eastAsia="仿宋_GB2312" w:cs="仿宋_GB2312"/>
                <w:color w:val="000000"/>
                <w:kern w:val="0"/>
                <w:sz w:val="21"/>
                <w:szCs w:val="21"/>
                <w:lang w:val="en-US" w:eastAsia="zh-CN" w:bidi="ar"/>
              </w:rPr>
              <w:t>10469217.43</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0982ACFC">
            <w:pPr>
              <w:widowControl/>
              <w:jc w:val="left"/>
              <w:textAlignment w:val="center"/>
              <w:rPr>
                <w:rFonts w:hint="eastAsia" w:ascii="Times New Roman" w:hAnsi="Times New Roman" w:eastAsia="仿宋_GB2312" w:cs="仿宋_GB2312"/>
                <w:color w:val="000000"/>
                <w:kern w:val="0"/>
                <w:sz w:val="21"/>
                <w:szCs w:val="21"/>
                <w:lang w:val="en-US" w:eastAsia="zh-CN" w:bidi="ar"/>
              </w:rPr>
            </w:pPr>
            <w:r>
              <w:rPr>
                <w:rFonts w:hint="eastAsia" w:ascii="Times New Roman" w:hAnsi="Times New Roman" w:eastAsia="仿宋_GB2312" w:cs="仿宋_GB2312"/>
                <w:color w:val="000000"/>
                <w:kern w:val="0"/>
                <w:sz w:val="21"/>
                <w:szCs w:val="21"/>
                <w:highlight w:val="none"/>
                <w:lang w:val="en-US" w:eastAsia="zh-CN" w:bidi="ar"/>
              </w:rPr>
              <w:t>9939284.08</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0DAEF4B7">
            <w:pPr>
              <w:widowControl/>
              <w:jc w:val="left"/>
              <w:textAlignment w:val="center"/>
              <w:rPr>
                <w:rFonts w:hint="eastAsia" w:ascii="Times New Roman" w:hAnsi="Times New Roman" w:eastAsia="仿宋_GB2312" w:cs="仿宋_GB2312"/>
                <w:snapToGrid w:val="0"/>
                <w:color w:val="000000"/>
                <w:kern w:val="0"/>
                <w:sz w:val="21"/>
                <w:szCs w:val="21"/>
                <w:lang w:val="en-US" w:eastAsia="zh-CN" w:bidi="ar-SA"/>
              </w:rPr>
            </w:pPr>
            <w:r>
              <w:rPr>
                <w:rFonts w:hint="eastAsia" w:ascii="Times New Roman" w:hAnsi="Times New Roman" w:eastAsia="仿宋_GB2312" w:cs="仿宋_GB2312"/>
                <w:color w:val="000000"/>
                <w:kern w:val="0"/>
                <w:sz w:val="21"/>
                <w:szCs w:val="21"/>
                <w:lang w:val="en-US" w:eastAsia="zh-CN" w:bidi="ar"/>
              </w:rPr>
              <w:t>10085134.21</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1F7A53EE">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val="en-US" w:eastAsia="zh-CN" w:bidi="ar"/>
              </w:rPr>
              <w:t>9826987.21</w:t>
            </w:r>
          </w:p>
        </w:tc>
      </w:tr>
      <w:tr w14:paraId="082061EC">
        <w:tblPrEx>
          <w:tblCellMar>
            <w:top w:w="0" w:type="dxa"/>
            <w:left w:w="108" w:type="dxa"/>
            <w:bottom w:w="0" w:type="dxa"/>
            <w:right w:w="108" w:type="dxa"/>
          </w:tblCellMar>
        </w:tblPrEx>
        <w:trPr>
          <w:trHeight w:val="482" w:hRule="exact"/>
        </w:trPr>
        <w:tc>
          <w:tcPr>
            <w:tcW w:w="254"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B2EE1D5">
            <w:pPr>
              <w:rPr>
                <w:rFonts w:hint="eastAsia" w:ascii="Times New Roman" w:hAnsi="Times New Roman" w:eastAsia="仿宋_GB2312" w:cs="仿宋_GB2312"/>
                <w:b/>
                <w:bCs/>
                <w:color w:val="000000"/>
                <w:sz w:val="21"/>
                <w:szCs w:val="21"/>
                <w:highlight w:val="none"/>
              </w:rPr>
            </w:pPr>
          </w:p>
        </w:tc>
        <w:tc>
          <w:tcPr>
            <w:tcW w:w="1902" w:type="pct"/>
            <w:gridSpan w:val="2"/>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45900DB">
            <w:pPr>
              <w:widowControl/>
              <w:jc w:val="left"/>
              <w:textAlignment w:val="top"/>
              <w:rPr>
                <w:rFonts w:hint="eastAsia" w:ascii="Times New Roman" w:hAnsi="Times New Roman" w:eastAsia="仿宋_GB2312" w:cs="仿宋_GB2312"/>
                <w:b/>
                <w:bCs/>
                <w:color w:val="000000"/>
                <w:sz w:val="21"/>
                <w:szCs w:val="21"/>
                <w:highlight w:val="none"/>
              </w:rPr>
            </w:pPr>
            <w:r>
              <w:rPr>
                <w:rFonts w:hint="eastAsia" w:ascii="Times New Roman" w:hAnsi="Times New Roman" w:eastAsia="仿宋_GB2312" w:cs="仿宋_GB2312"/>
                <w:b/>
                <w:bCs/>
                <w:color w:val="000000"/>
                <w:kern w:val="0"/>
                <w:sz w:val="21"/>
                <w:szCs w:val="21"/>
                <w:highlight w:val="none"/>
                <w:lang w:bidi="ar"/>
              </w:rPr>
              <w:t>资本充足率</w:t>
            </w:r>
          </w:p>
        </w:tc>
        <w:tc>
          <w:tcPr>
            <w:tcW w:w="708"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0308A08">
            <w:pPr>
              <w:widowControl/>
              <w:jc w:val="left"/>
              <w:textAlignment w:val="top"/>
              <w:rPr>
                <w:rFonts w:hint="eastAsia" w:ascii="Times New Roman" w:hAnsi="Times New Roman" w:eastAsia="仿宋_GB2312" w:cs="仿宋_GB2312"/>
                <w:b/>
                <w:bCs/>
                <w:color w:val="000000"/>
                <w:kern w:val="0"/>
                <w:sz w:val="21"/>
                <w:szCs w:val="21"/>
                <w:lang w:bidi="ar"/>
              </w:rPr>
            </w:pPr>
          </w:p>
        </w:tc>
        <w:tc>
          <w:tcPr>
            <w:tcW w:w="1352"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47F1F72E">
            <w:pPr>
              <w:widowControl/>
              <w:jc w:val="left"/>
              <w:textAlignment w:val="top"/>
              <w:rPr>
                <w:rFonts w:hint="eastAsia" w:ascii="Times New Roman" w:hAnsi="Times New Roman" w:eastAsia="仿宋_GB2312" w:cs="仿宋_GB2312"/>
                <w:b/>
                <w:bCs/>
                <w:color w:val="000000"/>
                <w:kern w:val="0"/>
                <w:sz w:val="21"/>
                <w:szCs w:val="21"/>
                <w:lang w:bidi="ar"/>
              </w:rPr>
            </w:pPr>
          </w:p>
        </w:tc>
        <w:tc>
          <w:tcPr>
            <w:tcW w:w="1352"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4D3BB604">
            <w:pPr>
              <w:widowControl/>
              <w:jc w:val="left"/>
              <w:textAlignment w:val="top"/>
              <w:rPr>
                <w:rFonts w:hint="eastAsia" w:ascii="Times New Roman" w:hAnsi="Times New Roman" w:eastAsia="仿宋_GB2312" w:cs="仿宋_GB2312"/>
                <w:b/>
                <w:bCs/>
                <w:color w:val="000000"/>
                <w:kern w:val="0"/>
                <w:sz w:val="21"/>
                <w:szCs w:val="21"/>
                <w:lang w:bidi="ar"/>
              </w:rPr>
            </w:pPr>
          </w:p>
        </w:tc>
        <w:tc>
          <w:tcPr>
            <w:tcW w:w="1373"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AB15BCD">
            <w:pPr>
              <w:widowControl/>
              <w:jc w:val="left"/>
              <w:textAlignment w:val="top"/>
              <w:rPr>
                <w:rFonts w:hint="eastAsia" w:ascii="Times New Roman" w:hAnsi="Times New Roman" w:eastAsia="仿宋_GB2312" w:cs="仿宋_GB2312"/>
                <w:b/>
                <w:bCs/>
                <w:color w:val="000000"/>
                <w:kern w:val="0"/>
                <w:sz w:val="21"/>
                <w:szCs w:val="21"/>
                <w:lang w:bidi="ar"/>
              </w:rPr>
            </w:pPr>
          </w:p>
        </w:tc>
      </w:tr>
      <w:tr w14:paraId="3FBC6AC3">
        <w:tblPrEx>
          <w:tblCellMar>
            <w:top w:w="0" w:type="dxa"/>
            <w:left w:w="108" w:type="dxa"/>
            <w:bottom w:w="0" w:type="dxa"/>
            <w:right w:w="108" w:type="dxa"/>
          </w:tblCellMar>
        </w:tblPrEx>
        <w:trPr>
          <w:trHeight w:val="602" w:hRule="exact"/>
        </w:trPr>
        <w:tc>
          <w:tcPr>
            <w:tcW w:w="254" w:type="pct"/>
            <w:tcBorders>
              <w:top w:val="single" w:color="000000" w:sz="4" w:space="0"/>
              <w:left w:val="single" w:color="000000" w:sz="4" w:space="0"/>
              <w:bottom w:val="single" w:color="000000" w:sz="4" w:space="0"/>
              <w:right w:val="single" w:color="000000" w:sz="4" w:space="0"/>
            </w:tcBorders>
            <w:noWrap w:val="0"/>
            <w:vAlign w:val="center"/>
          </w:tcPr>
          <w:p w14:paraId="2163AA6E">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5</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14:paraId="46456B2B">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核心一级资本充足率（%）</w:t>
            </w:r>
          </w:p>
        </w:tc>
        <w:tc>
          <w:tcPr>
            <w:tcW w:w="713" w:type="pct"/>
            <w:tcBorders>
              <w:top w:val="single" w:color="000000" w:sz="4" w:space="0"/>
              <w:left w:val="single" w:color="000000" w:sz="4" w:space="0"/>
              <w:bottom w:val="single" w:color="000000" w:sz="4" w:space="0"/>
              <w:right w:val="single" w:color="000000" w:sz="4" w:space="0"/>
            </w:tcBorders>
            <w:noWrap w:val="0"/>
            <w:vAlign w:val="center"/>
          </w:tcPr>
          <w:p w14:paraId="58E0C40D">
            <w:pPr>
              <w:widowControl/>
              <w:jc w:val="left"/>
              <w:textAlignment w:val="center"/>
              <w:rPr>
                <w:rFonts w:hint="default" w:ascii="Times New Roman" w:hAnsi="Times New Roman" w:eastAsia="仿宋_GB2312" w:cs="仿宋_GB2312"/>
                <w:color w:val="000000"/>
                <w:kern w:val="0"/>
                <w:sz w:val="21"/>
                <w:szCs w:val="21"/>
                <w:highlight w:val="none"/>
                <w:lang w:val="en-US" w:eastAsia="zh-CN" w:bidi="ar"/>
              </w:rPr>
            </w:pPr>
            <w:r>
              <w:rPr>
                <w:rFonts w:hint="eastAsia" w:ascii="Times New Roman" w:hAnsi="Times New Roman" w:eastAsia="仿宋_GB2312" w:cs="仿宋_GB2312"/>
                <w:color w:val="000000"/>
                <w:kern w:val="0"/>
                <w:sz w:val="21"/>
                <w:szCs w:val="21"/>
                <w:highlight w:val="none"/>
                <w:lang w:val="en-US" w:eastAsia="zh-CN" w:bidi="ar"/>
              </w:rPr>
              <w:t>11.23</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42142B03">
            <w:pPr>
              <w:widowControl/>
              <w:jc w:val="left"/>
              <w:textAlignment w:val="center"/>
              <w:rPr>
                <w:rFonts w:hint="eastAsia" w:ascii="Times New Roman" w:hAnsi="Times New Roman" w:eastAsia="仿宋_GB2312" w:cs="仿宋_GB2312"/>
                <w:color w:val="000000"/>
                <w:kern w:val="0"/>
                <w:sz w:val="21"/>
                <w:szCs w:val="21"/>
                <w:lang w:val="en-US" w:eastAsia="zh-CN" w:bidi="ar"/>
              </w:rPr>
            </w:pPr>
            <w:r>
              <w:rPr>
                <w:rFonts w:hint="eastAsia" w:ascii="Times New Roman" w:hAnsi="Times New Roman" w:eastAsia="仿宋_GB2312" w:cs="仿宋_GB2312"/>
                <w:color w:val="000000"/>
                <w:kern w:val="0"/>
                <w:sz w:val="21"/>
                <w:szCs w:val="21"/>
                <w:lang w:val="en-US" w:eastAsia="zh-CN" w:bidi="ar"/>
              </w:rPr>
              <w:t>11.30</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22871D5E">
            <w:pPr>
              <w:widowControl/>
              <w:jc w:val="left"/>
              <w:textAlignment w:val="center"/>
              <w:rPr>
                <w:rFonts w:hint="eastAsia" w:ascii="Times New Roman" w:hAnsi="Times New Roman" w:eastAsia="仿宋_GB2312" w:cs="仿宋_GB2312"/>
                <w:color w:val="000000"/>
                <w:kern w:val="0"/>
                <w:sz w:val="21"/>
                <w:szCs w:val="21"/>
                <w:lang w:val="en-US" w:eastAsia="zh-CN" w:bidi="ar"/>
              </w:rPr>
            </w:pPr>
            <w:r>
              <w:rPr>
                <w:rFonts w:hint="eastAsia" w:ascii="Times New Roman" w:hAnsi="Times New Roman" w:eastAsia="仿宋_GB2312" w:cs="仿宋_GB2312"/>
                <w:color w:val="000000"/>
                <w:kern w:val="0"/>
                <w:sz w:val="21"/>
                <w:szCs w:val="21"/>
                <w:highlight w:val="none"/>
                <w:lang w:val="en-US" w:eastAsia="zh-CN" w:bidi="ar"/>
              </w:rPr>
              <w:t>11.51</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3BBD6062">
            <w:pPr>
              <w:widowControl/>
              <w:jc w:val="left"/>
              <w:textAlignment w:val="center"/>
              <w:rPr>
                <w:rFonts w:hint="eastAsia" w:ascii="Times New Roman" w:hAnsi="Times New Roman" w:eastAsia="仿宋_GB2312" w:cs="仿宋_GB2312"/>
                <w:color w:val="000000"/>
                <w:kern w:val="0"/>
                <w:sz w:val="21"/>
                <w:szCs w:val="21"/>
                <w:lang w:val="en-US" w:eastAsia="zh-CN" w:bidi="ar"/>
              </w:rPr>
            </w:pPr>
            <w:r>
              <w:rPr>
                <w:rFonts w:hint="eastAsia" w:ascii="Times New Roman" w:hAnsi="Times New Roman" w:eastAsia="仿宋_GB2312" w:cs="仿宋_GB2312"/>
                <w:color w:val="000000"/>
                <w:kern w:val="0"/>
                <w:sz w:val="21"/>
                <w:szCs w:val="21"/>
                <w:lang w:val="en-US" w:eastAsia="zh-CN" w:bidi="ar"/>
              </w:rPr>
              <w:t>11.22</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30330AF8">
            <w:pPr>
              <w:widowControl/>
              <w:jc w:val="left"/>
              <w:textAlignment w:val="center"/>
              <w:rPr>
                <w:rFonts w:hint="eastAsia" w:ascii="Times New Roman" w:hAnsi="Times New Roman" w:eastAsia="仿宋_GB2312" w:cs="仿宋_GB2312"/>
                <w:color w:val="000000"/>
                <w:kern w:val="0"/>
                <w:sz w:val="21"/>
                <w:szCs w:val="21"/>
                <w:lang w:val="en-US" w:eastAsia="zh-CN" w:bidi="ar"/>
              </w:rPr>
            </w:pPr>
            <w:r>
              <w:rPr>
                <w:rFonts w:hint="eastAsia" w:ascii="Times New Roman" w:hAnsi="Times New Roman" w:eastAsia="仿宋_GB2312" w:cs="仿宋_GB2312"/>
                <w:color w:val="000000"/>
                <w:kern w:val="0"/>
                <w:sz w:val="21"/>
                <w:szCs w:val="21"/>
                <w:lang w:val="en-US" w:eastAsia="zh-CN" w:bidi="ar"/>
              </w:rPr>
              <w:t>11.75</w:t>
            </w:r>
          </w:p>
        </w:tc>
      </w:tr>
      <w:tr w14:paraId="47D6018D">
        <w:tblPrEx>
          <w:tblCellMar>
            <w:top w:w="0" w:type="dxa"/>
            <w:left w:w="108" w:type="dxa"/>
            <w:bottom w:w="0" w:type="dxa"/>
            <w:right w:w="108" w:type="dxa"/>
          </w:tblCellMar>
        </w:tblPrEx>
        <w:trPr>
          <w:trHeight w:val="482" w:hRule="exact"/>
        </w:trPr>
        <w:tc>
          <w:tcPr>
            <w:tcW w:w="254" w:type="pct"/>
            <w:tcBorders>
              <w:top w:val="single" w:color="000000" w:sz="4" w:space="0"/>
              <w:left w:val="single" w:color="000000" w:sz="4" w:space="0"/>
              <w:bottom w:val="single" w:color="000000" w:sz="4" w:space="0"/>
              <w:right w:val="single" w:color="000000" w:sz="4" w:space="0"/>
            </w:tcBorders>
            <w:noWrap w:val="0"/>
            <w:vAlign w:val="center"/>
          </w:tcPr>
          <w:p w14:paraId="336BAA5D">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6</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14:paraId="6D6AB74C">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一级资本充足率（%）</w:t>
            </w:r>
          </w:p>
        </w:tc>
        <w:tc>
          <w:tcPr>
            <w:tcW w:w="713" w:type="pct"/>
            <w:tcBorders>
              <w:top w:val="single" w:color="000000" w:sz="4" w:space="0"/>
              <w:left w:val="single" w:color="000000" w:sz="4" w:space="0"/>
              <w:bottom w:val="single" w:color="000000" w:sz="4" w:space="0"/>
              <w:right w:val="single" w:color="000000" w:sz="4" w:space="0"/>
            </w:tcBorders>
            <w:noWrap w:val="0"/>
            <w:vAlign w:val="center"/>
          </w:tcPr>
          <w:p w14:paraId="54E1F703">
            <w:pPr>
              <w:widowControl/>
              <w:jc w:val="left"/>
              <w:textAlignment w:val="center"/>
              <w:rPr>
                <w:rFonts w:hint="default"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kern w:val="0"/>
                <w:sz w:val="21"/>
                <w:szCs w:val="21"/>
                <w:highlight w:val="none"/>
                <w:lang w:val="en-US" w:eastAsia="zh-CN" w:bidi="ar"/>
              </w:rPr>
              <w:t>11.23</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1D8BA68F">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val="en-US" w:eastAsia="zh-CN" w:bidi="ar"/>
              </w:rPr>
              <w:t>11.30</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6B35F7D0">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highlight w:val="none"/>
                <w:lang w:val="en-US" w:eastAsia="zh-CN" w:bidi="ar"/>
              </w:rPr>
              <w:t>11.52</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3872C631">
            <w:pPr>
              <w:widowControl/>
              <w:jc w:val="left"/>
              <w:textAlignment w:val="center"/>
              <w:rPr>
                <w:rFonts w:hint="eastAsia"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kern w:val="0"/>
                <w:sz w:val="21"/>
                <w:szCs w:val="21"/>
                <w:lang w:val="en-US" w:eastAsia="zh-CN" w:bidi="ar"/>
              </w:rPr>
              <w:t>11.22</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37F1DE8E">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val="en-US" w:eastAsia="zh-CN" w:bidi="ar"/>
              </w:rPr>
              <w:t>11.76</w:t>
            </w:r>
          </w:p>
        </w:tc>
      </w:tr>
      <w:tr w14:paraId="41FE225B">
        <w:tblPrEx>
          <w:tblCellMar>
            <w:top w:w="0" w:type="dxa"/>
            <w:left w:w="108" w:type="dxa"/>
            <w:bottom w:w="0" w:type="dxa"/>
            <w:right w:w="108" w:type="dxa"/>
          </w:tblCellMar>
        </w:tblPrEx>
        <w:trPr>
          <w:trHeight w:val="482" w:hRule="exact"/>
        </w:trPr>
        <w:tc>
          <w:tcPr>
            <w:tcW w:w="254" w:type="pct"/>
            <w:tcBorders>
              <w:top w:val="single" w:color="000000" w:sz="4" w:space="0"/>
              <w:left w:val="single" w:color="000000" w:sz="4" w:space="0"/>
              <w:bottom w:val="single" w:color="000000" w:sz="4" w:space="0"/>
              <w:right w:val="single" w:color="000000" w:sz="4" w:space="0"/>
            </w:tcBorders>
            <w:noWrap w:val="0"/>
            <w:vAlign w:val="center"/>
          </w:tcPr>
          <w:p w14:paraId="6AC431EC">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7</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14:paraId="381751F2">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资本充足率（%）</w:t>
            </w:r>
          </w:p>
        </w:tc>
        <w:tc>
          <w:tcPr>
            <w:tcW w:w="713" w:type="pct"/>
            <w:tcBorders>
              <w:top w:val="single" w:color="000000" w:sz="4" w:space="0"/>
              <w:left w:val="single" w:color="000000" w:sz="4" w:space="0"/>
              <w:bottom w:val="single" w:color="000000" w:sz="4" w:space="0"/>
              <w:right w:val="single" w:color="000000" w:sz="4" w:space="0"/>
            </w:tcBorders>
            <w:noWrap w:val="0"/>
            <w:vAlign w:val="center"/>
          </w:tcPr>
          <w:p w14:paraId="7335CB6E">
            <w:pPr>
              <w:widowControl/>
              <w:jc w:val="left"/>
              <w:textAlignment w:val="center"/>
              <w:rPr>
                <w:rFonts w:hint="default"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12.39</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31D4D9F9">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12.47</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03B91D46">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highlight w:val="none"/>
                <w:lang w:val="en-US" w:eastAsia="zh-CN"/>
              </w:rPr>
              <w:t>12.69</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2837D138">
            <w:pPr>
              <w:widowControl/>
              <w:jc w:val="left"/>
              <w:textAlignment w:val="center"/>
              <w:rPr>
                <w:rFonts w:hint="eastAsia"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sz w:val="21"/>
                <w:szCs w:val="21"/>
                <w:lang w:val="en-US" w:eastAsia="zh-CN"/>
              </w:rPr>
              <w:t>12.39</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5AA10C46">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12.93</w:t>
            </w:r>
          </w:p>
        </w:tc>
      </w:tr>
      <w:tr w14:paraId="4DFDA7C7">
        <w:tblPrEx>
          <w:tblCellMar>
            <w:top w:w="0" w:type="dxa"/>
            <w:left w:w="108" w:type="dxa"/>
            <w:bottom w:w="0" w:type="dxa"/>
            <w:right w:w="108" w:type="dxa"/>
          </w:tblCellMar>
        </w:tblPrEx>
        <w:trPr>
          <w:trHeight w:val="482" w:hRule="exact"/>
        </w:trPr>
        <w:tc>
          <w:tcPr>
            <w:tcW w:w="254"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07DB4938">
            <w:pPr>
              <w:rPr>
                <w:rFonts w:hint="eastAsia" w:ascii="Times New Roman" w:hAnsi="Times New Roman" w:eastAsia="仿宋_GB2312" w:cs="仿宋_GB2312"/>
                <w:b/>
                <w:bCs/>
                <w:color w:val="000000"/>
                <w:sz w:val="21"/>
                <w:szCs w:val="21"/>
                <w:highlight w:val="none"/>
              </w:rPr>
            </w:pPr>
          </w:p>
        </w:tc>
        <w:tc>
          <w:tcPr>
            <w:tcW w:w="1902" w:type="pct"/>
            <w:gridSpan w:val="2"/>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ECEC203">
            <w:pPr>
              <w:widowControl/>
              <w:jc w:val="left"/>
              <w:textAlignment w:val="top"/>
              <w:rPr>
                <w:rFonts w:hint="eastAsia" w:ascii="Times New Roman" w:hAnsi="Times New Roman" w:eastAsia="仿宋_GB2312" w:cs="仿宋_GB2312"/>
                <w:b/>
                <w:bCs/>
                <w:color w:val="000000"/>
                <w:sz w:val="21"/>
                <w:szCs w:val="21"/>
                <w:highlight w:val="none"/>
              </w:rPr>
            </w:pPr>
            <w:r>
              <w:rPr>
                <w:rFonts w:hint="eastAsia" w:ascii="Times New Roman" w:hAnsi="Times New Roman" w:eastAsia="仿宋_GB2312" w:cs="仿宋_GB2312"/>
                <w:b/>
                <w:bCs/>
                <w:color w:val="000000"/>
                <w:kern w:val="0"/>
                <w:sz w:val="21"/>
                <w:szCs w:val="21"/>
                <w:highlight w:val="none"/>
                <w:lang w:bidi="ar"/>
              </w:rPr>
              <w:t>其他各级资本要求</w:t>
            </w:r>
          </w:p>
        </w:tc>
        <w:tc>
          <w:tcPr>
            <w:tcW w:w="708"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71B3F32">
            <w:pPr>
              <w:widowControl/>
              <w:jc w:val="left"/>
              <w:textAlignment w:val="top"/>
              <w:rPr>
                <w:rFonts w:hint="eastAsia" w:ascii="Times New Roman" w:hAnsi="Times New Roman" w:eastAsia="仿宋_GB2312" w:cs="仿宋_GB2312"/>
                <w:b/>
                <w:bCs/>
                <w:color w:val="000000"/>
                <w:kern w:val="0"/>
                <w:sz w:val="21"/>
                <w:szCs w:val="21"/>
                <w:lang w:bidi="ar"/>
              </w:rPr>
            </w:pPr>
          </w:p>
        </w:tc>
        <w:tc>
          <w:tcPr>
            <w:tcW w:w="1352"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560DFA5">
            <w:pPr>
              <w:widowControl/>
              <w:jc w:val="left"/>
              <w:textAlignment w:val="top"/>
              <w:rPr>
                <w:rFonts w:hint="eastAsia" w:ascii="Times New Roman" w:hAnsi="Times New Roman" w:eastAsia="仿宋_GB2312" w:cs="仿宋_GB2312"/>
                <w:b/>
                <w:bCs/>
                <w:color w:val="000000"/>
                <w:kern w:val="0"/>
                <w:sz w:val="21"/>
                <w:szCs w:val="21"/>
                <w:lang w:bidi="ar"/>
              </w:rPr>
            </w:pPr>
          </w:p>
        </w:tc>
        <w:tc>
          <w:tcPr>
            <w:tcW w:w="1352"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0B1045CC">
            <w:pPr>
              <w:widowControl/>
              <w:jc w:val="left"/>
              <w:textAlignment w:val="top"/>
              <w:rPr>
                <w:rFonts w:hint="eastAsia" w:ascii="Times New Roman" w:hAnsi="Times New Roman" w:eastAsia="仿宋_GB2312" w:cs="仿宋_GB2312"/>
                <w:b/>
                <w:bCs/>
                <w:color w:val="000000"/>
                <w:kern w:val="0"/>
                <w:sz w:val="21"/>
                <w:szCs w:val="21"/>
                <w:lang w:bidi="ar"/>
              </w:rPr>
            </w:pPr>
          </w:p>
        </w:tc>
        <w:tc>
          <w:tcPr>
            <w:tcW w:w="1373"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B8AC89A">
            <w:pPr>
              <w:widowControl/>
              <w:jc w:val="left"/>
              <w:textAlignment w:val="top"/>
              <w:rPr>
                <w:rFonts w:hint="eastAsia" w:ascii="Times New Roman" w:hAnsi="Times New Roman" w:eastAsia="仿宋_GB2312" w:cs="仿宋_GB2312"/>
                <w:b/>
                <w:bCs/>
                <w:color w:val="000000"/>
                <w:kern w:val="0"/>
                <w:sz w:val="21"/>
                <w:szCs w:val="21"/>
                <w:lang w:bidi="ar"/>
              </w:rPr>
            </w:pPr>
          </w:p>
        </w:tc>
      </w:tr>
      <w:tr w14:paraId="16F2220F">
        <w:tblPrEx>
          <w:tblCellMar>
            <w:top w:w="0" w:type="dxa"/>
            <w:left w:w="108" w:type="dxa"/>
            <w:bottom w:w="0" w:type="dxa"/>
            <w:right w:w="108" w:type="dxa"/>
          </w:tblCellMar>
        </w:tblPrEx>
        <w:trPr>
          <w:trHeight w:val="482" w:hRule="exact"/>
        </w:trPr>
        <w:tc>
          <w:tcPr>
            <w:tcW w:w="254" w:type="pct"/>
            <w:tcBorders>
              <w:top w:val="single" w:color="000000" w:sz="4" w:space="0"/>
              <w:left w:val="single" w:color="000000" w:sz="4" w:space="0"/>
              <w:bottom w:val="single" w:color="000000" w:sz="4" w:space="0"/>
              <w:right w:val="single" w:color="000000" w:sz="4" w:space="0"/>
            </w:tcBorders>
            <w:noWrap w:val="0"/>
            <w:vAlign w:val="center"/>
          </w:tcPr>
          <w:p w14:paraId="7FBB9D56">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8</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14:paraId="7F044247">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储备资本要求（%）</w:t>
            </w:r>
          </w:p>
        </w:tc>
        <w:tc>
          <w:tcPr>
            <w:tcW w:w="713" w:type="pct"/>
            <w:tcBorders>
              <w:top w:val="single" w:color="000000" w:sz="4" w:space="0"/>
              <w:left w:val="single" w:color="000000" w:sz="4" w:space="0"/>
              <w:bottom w:val="single" w:color="000000" w:sz="4" w:space="0"/>
              <w:right w:val="single" w:color="000000" w:sz="4" w:space="0"/>
            </w:tcBorders>
            <w:noWrap w:val="0"/>
            <w:vAlign w:val="center"/>
          </w:tcPr>
          <w:p w14:paraId="3055D046">
            <w:pPr>
              <w:widowControl/>
              <w:jc w:val="left"/>
              <w:textAlignment w:val="center"/>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2.5</w:t>
            </w:r>
          </w:p>
        </w:tc>
        <w:tc>
          <w:tcPr>
            <w:tcW w:w="708" w:type="pct"/>
            <w:tcBorders>
              <w:top w:val="single" w:color="000000" w:sz="4" w:space="0"/>
              <w:left w:val="single" w:color="000000" w:sz="4" w:space="0"/>
              <w:bottom w:val="single" w:color="000000" w:sz="4" w:space="0"/>
              <w:right w:val="single" w:color="000000" w:sz="4" w:space="0"/>
            </w:tcBorders>
            <w:noWrap w:val="0"/>
            <w:vAlign w:val="center"/>
          </w:tcPr>
          <w:p w14:paraId="6A556F27">
            <w:pPr>
              <w:widowControl/>
              <w:jc w:val="left"/>
              <w:textAlignment w:val="center"/>
              <w:rPr>
                <w:rFonts w:hint="eastAsia" w:ascii="Times New Roman" w:hAnsi="Times New Roman" w:eastAsia="仿宋_GB2312" w:cs="仿宋_GB2312"/>
                <w:color w:val="auto"/>
                <w:kern w:val="2"/>
                <w:sz w:val="21"/>
                <w:szCs w:val="21"/>
                <w:lang w:val="en-US" w:eastAsia="zh-CN" w:bidi="ar-SA"/>
              </w:rPr>
            </w:pPr>
            <w:r>
              <w:rPr>
                <w:rFonts w:hint="eastAsia" w:ascii="Times New Roman" w:hAnsi="Times New Roman" w:eastAsia="仿宋_GB2312" w:cs="仿宋_GB2312"/>
                <w:color w:val="auto"/>
                <w:sz w:val="21"/>
                <w:szCs w:val="21"/>
                <w:lang w:val="en-US" w:eastAsia="zh-CN"/>
              </w:rPr>
              <w:t>2.5</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36535970">
            <w:pPr>
              <w:widowControl/>
              <w:jc w:val="left"/>
              <w:textAlignment w:val="center"/>
              <w:rPr>
                <w:rFonts w:hint="default" w:ascii="Times New Roman" w:hAnsi="Times New Roman" w:eastAsia="仿宋_GB2312" w:cs="仿宋_GB2312"/>
                <w:color w:val="auto"/>
                <w:sz w:val="21"/>
                <w:szCs w:val="21"/>
                <w:lang w:val="en-US" w:eastAsia="zh-CN"/>
              </w:rPr>
            </w:pPr>
            <w:r>
              <w:rPr>
                <w:rFonts w:hint="eastAsia" w:ascii="Times New Roman" w:hAnsi="Times New Roman" w:eastAsia="仿宋_GB2312" w:cs="仿宋_GB2312"/>
                <w:color w:val="auto"/>
                <w:sz w:val="21"/>
                <w:szCs w:val="21"/>
                <w:lang w:val="en-US" w:eastAsia="zh-CN"/>
              </w:rPr>
              <w:t>2.5</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5C30BF4A">
            <w:pPr>
              <w:widowControl/>
              <w:jc w:val="left"/>
              <w:textAlignment w:val="center"/>
              <w:rPr>
                <w:rFonts w:hint="eastAsia" w:ascii="Times New Roman" w:hAnsi="Times New Roman" w:eastAsia="仿宋_GB2312" w:cs="仿宋_GB2312"/>
                <w:color w:val="auto"/>
                <w:sz w:val="21"/>
                <w:szCs w:val="21"/>
                <w:lang w:val="en-US" w:eastAsia="zh-CN"/>
              </w:rPr>
            </w:pPr>
            <w:r>
              <w:rPr>
                <w:rFonts w:hint="eastAsia" w:ascii="Times New Roman" w:hAnsi="Times New Roman" w:eastAsia="仿宋_GB2312" w:cs="仿宋_GB2312"/>
                <w:color w:val="auto"/>
                <w:sz w:val="21"/>
                <w:szCs w:val="21"/>
                <w:lang w:val="en-US" w:eastAsia="zh-CN"/>
              </w:rPr>
              <w:t>2.5</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4DC94994">
            <w:pPr>
              <w:widowControl/>
              <w:jc w:val="left"/>
              <w:textAlignment w:val="center"/>
              <w:rPr>
                <w:rFonts w:hint="eastAsia" w:ascii="Times New Roman" w:hAnsi="Times New Roman" w:eastAsia="仿宋_GB2312" w:cs="仿宋_GB2312"/>
                <w:color w:val="auto"/>
                <w:kern w:val="2"/>
                <w:sz w:val="21"/>
                <w:szCs w:val="21"/>
                <w:lang w:val="en-US" w:eastAsia="zh-CN" w:bidi="ar-SA"/>
              </w:rPr>
            </w:pPr>
            <w:r>
              <w:rPr>
                <w:rFonts w:hint="eastAsia" w:ascii="Times New Roman" w:hAnsi="Times New Roman" w:eastAsia="仿宋_GB2312" w:cs="仿宋_GB2312"/>
                <w:color w:val="auto"/>
                <w:sz w:val="21"/>
                <w:szCs w:val="21"/>
                <w:lang w:val="en-US" w:eastAsia="zh-CN"/>
              </w:rPr>
              <w:t>2.5</w:t>
            </w:r>
          </w:p>
        </w:tc>
      </w:tr>
      <w:tr w14:paraId="13D4F303">
        <w:tblPrEx>
          <w:tblCellMar>
            <w:top w:w="0" w:type="dxa"/>
            <w:left w:w="108" w:type="dxa"/>
            <w:bottom w:w="0" w:type="dxa"/>
            <w:right w:w="108" w:type="dxa"/>
          </w:tblCellMar>
        </w:tblPrEx>
        <w:trPr>
          <w:trHeight w:val="551" w:hRule="exact"/>
        </w:trPr>
        <w:tc>
          <w:tcPr>
            <w:tcW w:w="254" w:type="pct"/>
            <w:tcBorders>
              <w:top w:val="single" w:color="000000" w:sz="4" w:space="0"/>
              <w:left w:val="single" w:color="000000" w:sz="4" w:space="0"/>
              <w:bottom w:val="single" w:color="000000" w:sz="4" w:space="0"/>
              <w:right w:val="single" w:color="000000" w:sz="4" w:space="0"/>
            </w:tcBorders>
            <w:noWrap w:val="0"/>
            <w:vAlign w:val="center"/>
          </w:tcPr>
          <w:p w14:paraId="12080CC8">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9</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14:paraId="7D4B3B30">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逆周期资本要求（%）</w:t>
            </w:r>
          </w:p>
        </w:tc>
        <w:tc>
          <w:tcPr>
            <w:tcW w:w="713" w:type="pct"/>
            <w:tcBorders>
              <w:top w:val="single" w:color="000000" w:sz="4" w:space="0"/>
              <w:left w:val="single" w:color="000000" w:sz="4" w:space="0"/>
              <w:bottom w:val="single" w:color="000000" w:sz="4" w:space="0"/>
              <w:right w:val="single" w:color="000000" w:sz="4" w:space="0"/>
            </w:tcBorders>
            <w:noWrap w:val="0"/>
            <w:vAlign w:val="center"/>
          </w:tcPr>
          <w:p w14:paraId="4DA86FA8">
            <w:pPr>
              <w:widowControl/>
              <w:jc w:val="left"/>
              <w:textAlignment w:val="center"/>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0</w:t>
            </w:r>
          </w:p>
        </w:tc>
        <w:tc>
          <w:tcPr>
            <w:tcW w:w="708" w:type="pct"/>
            <w:tcBorders>
              <w:top w:val="single" w:color="000000" w:sz="4" w:space="0"/>
              <w:left w:val="single" w:color="000000" w:sz="4" w:space="0"/>
              <w:bottom w:val="single" w:color="000000" w:sz="4" w:space="0"/>
              <w:right w:val="single" w:color="000000" w:sz="4" w:space="0"/>
            </w:tcBorders>
            <w:noWrap w:val="0"/>
            <w:vAlign w:val="center"/>
          </w:tcPr>
          <w:p w14:paraId="16B3CF2A">
            <w:pPr>
              <w:widowControl/>
              <w:jc w:val="left"/>
              <w:textAlignment w:val="center"/>
              <w:rPr>
                <w:rFonts w:hint="eastAsia" w:ascii="Times New Roman" w:hAnsi="Times New Roman" w:eastAsia="仿宋_GB2312" w:cs="仿宋_GB2312"/>
                <w:color w:val="auto"/>
                <w:kern w:val="2"/>
                <w:sz w:val="21"/>
                <w:szCs w:val="21"/>
                <w:lang w:val="en-US" w:eastAsia="zh-CN" w:bidi="ar-SA"/>
              </w:rPr>
            </w:pPr>
            <w:r>
              <w:rPr>
                <w:rFonts w:hint="eastAsia" w:ascii="Times New Roman" w:hAnsi="Times New Roman" w:eastAsia="仿宋_GB2312" w:cs="仿宋_GB2312"/>
                <w:color w:val="auto"/>
                <w:sz w:val="21"/>
                <w:szCs w:val="21"/>
                <w:lang w:val="en-US" w:eastAsia="zh-CN"/>
              </w:rPr>
              <w:t>0</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35B5FFEE">
            <w:pPr>
              <w:widowControl/>
              <w:jc w:val="left"/>
              <w:textAlignment w:val="center"/>
              <w:rPr>
                <w:rFonts w:hint="default" w:ascii="Times New Roman" w:hAnsi="Times New Roman" w:eastAsia="仿宋_GB2312" w:cs="仿宋_GB2312"/>
                <w:color w:val="auto"/>
                <w:sz w:val="21"/>
                <w:szCs w:val="21"/>
                <w:lang w:val="en-US" w:eastAsia="zh-CN"/>
              </w:rPr>
            </w:pPr>
            <w:r>
              <w:rPr>
                <w:rFonts w:hint="eastAsia" w:ascii="Times New Roman" w:hAnsi="Times New Roman" w:eastAsia="仿宋_GB2312" w:cs="仿宋_GB2312"/>
                <w:color w:val="auto"/>
                <w:sz w:val="21"/>
                <w:szCs w:val="21"/>
                <w:lang w:val="en-US" w:eastAsia="zh-CN"/>
              </w:rPr>
              <w:t>0</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59B1C6E4">
            <w:pPr>
              <w:widowControl/>
              <w:jc w:val="left"/>
              <w:textAlignment w:val="center"/>
              <w:rPr>
                <w:rFonts w:hint="eastAsia" w:ascii="Times New Roman" w:hAnsi="Times New Roman" w:eastAsia="仿宋_GB2312" w:cs="仿宋_GB2312"/>
                <w:color w:val="auto"/>
                <w:sz w:val="21"/>
                <w:szCs w:val="21"/>
                <w:lang w:val="en-US" w:eastAsia="zh-CN"/>
              </w:rPr>
            </w:pPr>
            <w:r>
              <w:rPr>
                <w:rFonts w:hint="eastAsia" w:ascii="Times New Roman" w:hAnsi="Times New Roman" w:eastAsia="仿宋_GB2312" w:cs="仿宋_GB2312"/>
                <w:color w:val="auto"/>
                <w:sz w:val="21"/>
                <w:szCs w:val="21"/>
                <w:lang w:val="en-US" w:eastAsia="zh-CN"/>
              </w:rPr>
              <w:t>0</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5142763A">
            <w:pPr>
              <w:widowControl/>
              <w:jc w:val="left"/>
              <w:textAlignment w:val="center"/>
              <w:rPr>
                <w:rFonts w:hint="eastAsia" w:ascii="Times New Roman" w:hAnsi="Times New Roman" w:eastAsia="仿宋_GB2312" w:cs="仿宋_GB2312"/>
                <w:color w:val="auto"/>
                <w:kern w:val="2"/>
                <w:sz w:val="21"/>
                <w:szCs w:val="21"/>
                <w:lang w:val="en-US" w:eastAsia="zh-CN" w:bidi="ar-SA"/>
              </w:rPr>
            </w:pPr>
            <w:r>
              <w:rPr>
                <w:rFonts w:hint="eastAsia" w:ascii="Times New Roman" w:hAnsi="Times New Roman" w:eastAsia="仿宋_GB2312" w:cs="仿宋_GB2312"/>
                <w:color w:val="auto"/>
                <w:sz w:val="21"/>
                <w:szCs w:val="21"/>
                <w:lang w:val="en-US" w:eastAsia="zh-CN"/>
              </w:rPr>
              <w:t>0</w:t>
            </w:r>
          </w:p>
        </w:tc>
      </w:tr>
      <w:tr w14:paraId="296DF8D1">
        <w:tblPrEx>
          <w:tblCellMar>
            <w:top w:w="0" w:type="dxa"/>
            <w:left w:w="108" w:type="dxa"/>
            <w:bottom w:w="0" w:type="dxa"/>
            <w:right w:w="108" w:type="dxa"/>
          </w:tblCellMar>
        </w:tblPrEx>
        <w:trPr>
          <w:trHeight w:val="1080" w:hRule="exact"/>
        </w:trPr>
        <w:tc>
          <w:tcPr>
            <w:tcW w:w="25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8392E4">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10</w:t>
            </w:r>
          </w:p>
        </w:tc>
        <w:tc>
          <w:tcPr>
            <w:tcW w:w="118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AB3259">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全球系统重要性银行或国内系统重要性银行附加资本要求（%）</w:t>
            </w:r>
          </w:p>
        </w:tc>
        <w:tc>
          <w:tcPr>
            <w:tcW w:w="713" w:type="pct"/>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7BB33BEA">
            <w:pPr>
              <w:jc w:val="left"/>
              <w:rPr>
                <w:rFonts w:hint="eastAsia" w:ascii="Times New Roman" w:hAnsi="Times New Roman" w:eastAsia="仿宋_GB2312" w:cs="仿宋_GB2312"/>
                <w:color w:val="auto"/>
                <w:sz w:val="21"/>
                <w:szCs w:val="21"/>
                <w:highlight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093C7B53">
            <w:pPr>
              <w:jc w:val="left"/>
              <w:rPr>
                <w:rFonts w:hint="eastAsia" w:ascii="Times New Roman" w:hAnsi="Times New Roman" w:eastAsia="仿宋_GB2312" w:cs="仿宋_GB2312"/>
                <w:color w:val="auto"/>
                <w:sz w:val="21"/>
                <w:szCs w:val="21"/>
              </w:rPr>
            </w:pPr>
          </w:p>
        </w:tc>
        <w:tc>
          <w:tcPr>
            <w:tcW w:w="1352"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08B23EDF">
            <w:pPr>
              <w:jc w:val="left"/>
              <w:rPr>
                <w:rFonts w:hint="eastAsia" w:ascii="Times New Roman" w:hAnsi="Times New Roman" w:eastAsia="仿宋_GB2312" w:cs="仿宋_GB2312"/>
                <w:color w:val="auto"/>
                <w:sz w:val="21"/>
                <w:szCs w:val="21"/>
              </w:rPr>
            </w:pPr>
          </w:p>
        </w:tc>
        <w:tc>
          <w:tcPr>
            <w:tcW w:w="1352"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0CFC5E4A">
            <w:pPr>
              <w:jc w:val="left"/>
              <w:rPr>
                <w:rFonts w:hint="eastAsia" w:ascii="Times New Roman" w:hAnsi="Times New Roman" w:eastAsia="仿宋_GB2312" w:cs="仿宋_GB2312"/>
                <w:color w:val="auto"/>
                <w:sz w:val="21"/>
                <w:szCs w:val="21"/>
              </w:rPr>
            </w:pPr>
          </w:p>
        </w:tc>
        <w:tc>
          <w:tcPr>
            <w:tcW w:w="1373" w:type="dxa"/>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6BCA5215">
            <w:pPr>
              <w:jc w:val="left"/>
              <w:rPr>
                <w:rFonts w:hint="eastAsia" w:ascii="Times New Roman" w:hAnsi="Times New Roman" w:eastAsia="仿宋_GB2312" w:cs="仿宋_GB2312"/>
                <w:color w:val="auto"/>
                <w:sz w:val="21"/>
                <w:szCs w:val="21"/>
              </w:rPr>
            </w:pPr>
          </w:p>
        </w:tc>
      </w:tr>
      <w:tr w14:paraId="3CF9A32E">
        <w:tblPrEx>
          <w:tblCellMar>
            <w:top w:w="0" w:type="dxa"/>
            <w:left w:w="108" w:type="dxa"/>
            <w:bottom w:w="0" w:type="dxa"/>
            <w:right w:w="108" w:type="dxa"/>
          </w:tblCellMar>
        </w:tblPrEx>
        <w:trPr>
          <w:trHeight w:val="694" w:hRule="exact"/>
        </w:trPr>
        <w:tc>
          <w:tcPr>
            <w:tcW w:w="254" w:type="pct"/>
            <w:tcBorders>
              <w:top w:val="single" w:color="000000" w:sz="4" w:space="0"/>
              <w:left w:val="single" w:color="000000" w:sz="4" w:space="0"/>
              <w:bottom w:val="single" w:color="000000" w:sz="4" w:space="0"/>
              <w:right w:val="single" w:color="000000" w:sz="4" w:space="0"/>
            </w:tcBorders>
            <w:noWrap w:val="0"/>
            <w:vAlign w:val="center"/>
          </w:tcPr>
          <w:p w14:paraId="5FBDB4B5">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11</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14:paraId="42541171">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其他各级资本要求（%）（8+9+10）</w:t>
            </w:r>
          </w:p>
        </w:tc>
        <w:tc>
          <w:tcPr>
            <w:tcW w:w="713" w:type="pct"/>
            <w:tcBorders>
              <w:top w:val="single" w:color="000000" w:sz="4" w:space="0"/>
              <w:left w:val="single" w:color="000000" w:sz="4" w:space="0"/>
              <w:bottom w:val="single" w:color="000000" w:sz="4" w:space="0"/>
              <w:right w:val="single" w:color="000000" w:sz="4" w:space="0"/>
            </w:tcBorders>
            <w:noWrap w:val="0"/>
            <w:vAlign w:val="center"/>
          </w:tcPr>
          <w:p w14:paraId="616CA4DD">
            <w:pPr>
              <w:widowControl/>
              <w:jc w:val="left"/>
              <w:textAlignment w:val="center"/>
              <w:rPr>
                <w:rFonts w:hint="eastAsia"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2.5</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55719972">
            <w:pPr>
              <w:widowControl/>
              <w:jc w:val="left"/>
              <w:textAlignment w:val="center"/>
              <w:rPr>
                <w:rFonts w:hint="eastAsia" w:ascii="Times New Roman" w:hAnsi="Times New Roman" w:eastAsia="仿宋_GB2312" w:cs="仿宋_GB2312"/>
                <w:color w:val="auto"/>
                <w:sz w:val="21"/>
                <w:szCs w:val="21"/>
                <w:lang w:val="en-US" w:eastAsia="zh-CN"/>
              </w:rPr>
            </w:pPr>
            <w:r>
              <w:rPr>
                <w:rFonts w:hint="eastAsia" w:ascii="Times New Roman" w:hAnsi="Times New Roman" w:eastAsia="仿宋_GB2312" w:cs="仿宋_GB2312"/>
                <w:color w:val="auto"/>
                <w:sz w:val="21"/>
                <w:szCs w:val="21"/>
                <w:lang w:val="en-US" w:eastAsia="zh-CN"/>
              </w:rPr>
              <w:t>2.5</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3C26D96C">
            <w:pPr>
              <w:widowControl/>
              <w:jc w:val="left"/>
              <w:textAlignment w:val="center"/>
              <w:rPr>
                <w:rFonts w:hint="eastAsia" w:ascii="Times New Roman" w:hAnsi="Times New Roman" w:eastAsia="仿宋_GB2312" w:cs="仿宋_GB2312"/>
                <w:color w:val="auto"/>
                <w:kern w:val="2"/>
                <w:sz w:val="21"/>
                <w:szCs w:val="21"/>
                <w:lang w:val="en-US" w:eastAsia="zh-CN" w:bidi="ar-SA"/>
              </w:rPr>
            </w:pPr>
            <w:r>
              <w:rPr>
                <w:rFonts w:hint="eastAsia" w:ascii="Times New Roman" w:hAnsi="Times New Roman" w:eastAsia="仿宋_GB2312" w:cs="仿宋_GB2312"/>
                <w:color w:val="auto"/>
                <w:sz w:val="21"/>
                <w:szCs w:val="21"/>
                <w:lang w:val="en-US" w:eastAsia="zh-CN"/>
              </w:rPr>
              <w:t>2.5</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4101C53A">
            <w:pPr>
              <w:widowControl/>
              <w:jc w:val="left"/>
              <w:textAlignment w:val="center"/>
              <w:rPr>
                <w:rFonts w:hint="eastAsia" w:ascii="Times New Roman" w:hAnsi="Times New Roman" w:eastAsia="仿宋_GB2312" w:cs="仿宋_GB2312"/>
                <w:color w:val="auto"/>
                <w:sz w:val="21"/>
                <w:szCs w:val="21"/>
                <w:lang w:val="en-US" w:eastAsia="zh-CN"/>
              </w:rPr>
            </w:pPr>
            <w:r>
              <w:rPr>
                <w:rFonts w:hint="eastAsia" w:ascii="Times New Roman" w:hAnsi="Times New Roman" w:eastAsia="仿宋_GB2312" w:cs="仿宋_GB2312"/>
                <w:color w:val="auto"/>
                <w:sz w:val="21"/>
                <w:szCs w:val="21"/>
                <w:lang w:val="en-US" w:eastAsia="zh-CN"/>
              </w:rPr>
              <w:t>2.5</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5B4EA764">
            <w:pPr>
              <w:widowControl/>
              <w:jc w:val="left"/>
              <w:textAlignment w:val="center"/>
              <w:rPr>
                <w:rFonts w:hint="eastAsia" w:ascii="Times New Roman" w:hAnsi="Times New Roman" w:eastAsia="仿宋_GB2312" w:cs="仿宋_GB2312"/>
                <w:color w:val="auto"/>
                <w:kern w:val="2"/>
                <w:sz w:val="21"/>
                <w:szCs w:val="21"/>
                <w:lang w:val="en-US" w:eastAsia="zh-CN" w:bidi="ar-SA"/>
              </w:rPr>
            </w:pPr>
            <w:r>
              <w:rPr>
                <w:rFonts w:hint="eastAsia" w:ascii="Times New Roman" w:hAnsi="Times New Roman" w:eastAsia="仿宋_GB2312" w:cs="仿宋_GB2312"/>
                <w:color w:val="auto"/>
                <w:sz w:val="21"/>
                <w:szCs w:val="21"/>
                <w:lang w:val="en-US" w:eastAsia="zh-CN"/>
              </w:rPr>
              <w:t>2.5</w:t>
            </w:r>
          </w:p>
        </w:tc>
      </w:tr>
      <w:tr w14:paraId="1D059463">
        <w:tblPrEx>
          <w:tblCellMar>
            <w:top w:w="0" w:type="dxa"/>
            <w:left w:w="108" w:type="dxa"/>
            <w:bottom w:w="0" w:type="dxa"/>
            <w:right w:w="108" w:type="dxa"/>
          </w:tblCellMar>
        </w:tblPrEx>
        <w:trPr>
          <w:trHeight w:val="1691" w:hRule="exact"/>
        </w:trPr>
        <w:tc>
          <w:tcPr>
            <w:tcW w:w="254" w:type="pct"/>
            <w:tcBorders>
              <w:top w:val="single" w:color="000000" w:sz="4" w:space="0"/>
              <w:left w:val="single" w:color="000000" w:sz="4" w:space="0"/>
              <w:bottom w:val="single" w:color="000000" w:sz="4" w:space="0"/>
              <w:right w:val="single" w:color="000000" w:sz="4" w:space="0"/>
            </w:tcBorders>
            <w:noWrap w:val="0"/>
            <w:vAlign w:val="center"/>
          </w:tcPr>
          <w:p w14:paraId="60FEA38C">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12</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14:paraId="2B1871FF">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满足最低资本要求后的可用核心一级资本净额占风险加权资产的比例（%）</w:t>
            </w:r>
          </w:p>
        </w:tc>
        <w:tc>
          <w:tcPr>
            <w:tcW w:w="713" w:type="pct"/>
            <w:tcBorders>
              <w:top w:val="single" w:color="000000" w:sz="4" w:space="0"/>
              <w:left w:val="single" w:color="000000" w:sz="4" w:space="0"/>
              <w:bottom w:val="single" w:color="000000" w:sz="4" w:space="0"/>
              <w:right w:val="single" w:color="000000" w:sz="4" w:space="0"/>
            </w:tcBorders>
            <w:noWrap w:val="0"/>
            <w:vAlign w:val="center"/>
          </w:tcPr>
          <w:p w14:paraId="6EF583F0">
            <w:pPr>
              <w:widowControl/>
              <w:jc w:val="left"/>
              <w:textAlignment w:val="center"/>
              <w:rPr>
                <w:rFonts w:hint="default" w:ascii="Times New Roman" w:hAnsi="Times New Roman" w:eastAsia="仿宋_GB2312" w:cs="仿宋_GB2312"/>
                <w:color w:val="auto"/>
                <w:sz w:val="21"/>
                <w:szCs w:val="21"/>
                <w:highlight w:val="none"/>
                <w:lang w:val="en-US" w:eastAsia="zh-CN"/>
              </w:rPr>
            </w:pPr>
            <w:r>
              <w:rPr>
                <w:rFonts w:hint="eastAsia" w:ascii="Times New Roman" w:hAnsi="Times New Roman" w:eastAsia="仿宋_GB2312" w:cs="仿宋_GB2312"/>
                <w:color w:val="auto"/>
                <w:sz w:val="21"/>
                <w:szCs w:val="21"/>
                <w:highlight w:val="none"/>
                <w:lang w:val="en-US" w:eastAsia="zh-CN"/>
              </w:rPr>
              <w:t>4.39</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54300759">
            <w:pPr>
              <w:widowControl/>
              <w:jc w:val="left"/>
              <w:textAlignment w:val="center"/>
              <w:rPr>
                <w:rFonts w:hint="eastAsia" w:ascii="Times New Roman" w:hAnsi="Times New Roman" w:eastAsia="仿宋_GB2312" w:cs="仿宋_GB2312"/>
                <w:color w:val="auto"/>
                <w:kern w:val="2"/>
                <w:sz w:val="21"/>
                <w:szCs w:val="21"/>
                <w:lang w:val="en-US" w:eastAsia="zh-CN" w:bidi="ar-SA"/>
              </w:rPr>
            </w:pPr>
            <w:r>
              <w:rPr>
                <w:rFonts w:hint="eastAsia" w:ascii="Times New Roman" w:hAnsi="Times New Roman" w:eastAsia="仿宋_GB2312" w:cs="仿宋_GB2312"/>
                <w:color w:val="auto"/>
                <w:sz w:val="21"/>
                <w:szCs w:val="21"/>
                <w:lang w:val="en-US" w:eastAsia="zh-CN"/>
              </w:rPr>
              <w:t>4.47</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63486615">
            <w:pPr>
              <w:widowControl/>
              <w:jc w:val="left"/>
              <w:textAlignment w:val="center"/>
              <w:rPr>
                <w:rFonts w:hint="eastAsia" w:ascii="Times New Roman" w:hAnsi="Times New Roman" w:eastAsia="仿宋_GB2312" w:cs="仿宋_GB2312"/>
                <w:color w:val="auto"/>
                <w:kern w:val="2"/>
                <w:sz w:val="21"/>
                <w:szCs w:val="21"/>
                <w:lang w:val="en-US" w:eastAsia="zh-CN" w:bidi="ar-SA"/>
              </w:rPr>
            </w:pPr>
            <w:r>
              <w:rPr>
                <w:rFonts w:hint="eastAsia" w:ascii="Times New Roman" w:hAnsi="Times New Roman" w:eastAsia="仿宋_GB2312" w:cs="仿宋_GB2312"/>
                <w:color w:val="auto"/>
                <w:sz w:val="21"/>
                <w:szCs w:val="21"/>
                <w:highlight w:val="none"/>
                <w:lang w:val="en-US" w:eastAsia="zh-CN"/>
              </w:rPr>
              <w:t>4.69</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38864BE0">
            <w:pPr>
              <w:widowControl/>
              <w:jc w:val="left"/>
              <w:textAlignment w:val="center"/>
              <w:rPr>
                <w:rFonts w:hint="eastAsia" w:ascii="Times New Roman" w:hAnsi="Times New Roman" w:eastAsia="仿宋_GB2312" w:cs="仿宋_GB2312"/>
                <w:color w:val="auto"/>
                <w:sz w:val="21"/>
                <w:szCs w:val="21"/>
                <w:lang w:val="en-US" w:eastAsia="zh-CN"/>
              </w:rPr>
            </w:pPr>
            <w:r>
              <w:rPr>
                <w:rFonts w:hint="eastAsia" w:ascii="Times New Roman" w:hAnsi="Times New Roman" w:eastAsia="仿宋_GB2312" w:cs="仿宋_GB2312"/>
                <w:color w:val="auto"/>
                <w:sz w:val="21"/>
                <w:szCs w:val="21"/>
                <w:lang w:val="en-US" w:eastAsia="zh-CN"/>
              </w:rPr>
              <w:t>4.39</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060508FD">
            <w:pPr>
              <w:widowControl/>
              <w:jc w:val="left"/>
              <w:textAlignment w:val="center"/>
              <w:rPr>
                <w:rFonts w:hint="eastAsia" w:ascii="Times New Roman" w:hAnsi="Times New Roman" w:eastAsia="仿宋_GB2312" w:cs="仿宋_GB2312"/>
                <w:color w:val="auto"/>
                <w:kern w:val="2"/>
                <w:sz w:val="21"/>
                <w:szCs w:val="21"/>
                <w:lang w:val="en-US" w:eastAsia="zh-CN" w:bidi="ar-SA"/>
              </w:rPr>
            </w:pPr>
            <w:r>
              <w:rPr>
                <w:rFonts w:hint="eastAsia" w:ascii="Times New Roman" w:hAnsi="Times New Roman" w:eastAsia="仿宋_GB2312" w:cs="仿宋_GB2312"/>
                <w:color w:val="auto"/>
                <w:sz w:val="21"/>
                <w:szCs w:val="21"/>
                <w:lang w:val="en-US" w:eastAsia="zh-CN"/>
              </w:rPr>
              <w:t>4.93</w:t>
            </w:r>
          </w:p>
        </w:tc>
      </w:tr>
      <w:tr w14:paraId="3C93D02D">
        <w:tblPrEx>
          <w:tblCellMar>
            <w:top w:w="0" w:type="dxa"/>
            <w:left w:w="108" w:type="dxa"/>
            <w:bottom w:w="0" w:type="dxa"/>
            <w:right w:w="108" w:type="dxa"/>
          </w:tblCellMar>
        </w:tblPrEx>
        <w:trPr>
          <w:trHeight w:val="482" w:hRule="exact"/>
        </w:trPr>
        <w:tc>
          <w:tcPr>
            <w:tcW w:w="254"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09507C1B">
            <w:pPr>
              <w:rPr>
                <w:rFonts w:hint="eastAsia" w:ascii="Times New Roman" w:hAnsi="Times New Roman" w:eastAsia="仿宋_GB2312" w:cs="仿宋_GB2312"/>
                <w:b/>
                <w:bCs/>
                <w:color w:val="000000"/>
                <w:sz w:val="21"/>
                <w:szCs w:val="21"/>
                <w:highlight w:val="green"/>
              </w:rPr>
            </w:pPr>
          </w:p>
        </w:tc>
        <w:tc>
          <w:tcPr>
            <w:tcW w:w="1902" w:type="pct"/>
            <w:gridSpan w:val="2"/>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D1CD643">
            <w:pPr>
              <w:widowControl/>
              <w:jc w:val="left"/>
              <w:textAlignment w:val="top"/>
              <w:rPr>
                <w:rFonts w:hint="eastAsia" w:ascii="Times New Roman" w:hAnsi="Times New Roman" w:eastAsia="仿宋_GB2312" w:cs="仿宋_GB2312"/>
                <w:b/>
                <w:bCs/>
                <w:color w:val="000000"/>
                <w:sz w:val="21"/>
                <w:szCs w:val="21"/>
                <w:highlight w:val="green"/>
              </w:rPr>
            </w:pPr>
            <w:r>
              <w:rPr>
                <w:rFonts w:hint="eastAsia" w:ascii="Times New Roman" w:hAnsi="Times New Roman" w:eastAsia="仿宋_GB2312" w:cs="仿宋_GB2312"/>
                <w:b/>
                <w:bCs/>
                <w:color w:val="000000"/>
                <w:kern w:val="0"/>
                <w:sz w:val="21"/>
                <w:szCs w:val="21"/>
                <w:highlight w:val="none"/>
                <w:lang w:bidi="ar"/>
              </w:rPr>
              <w:t>杠杆率</w:t>
            </w:r>
          </w:p>
        </w:tc>
        <w:tc>
          <w:tcPr>
            <w:tcW w:w="708"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5481AD9">
            <w:pPr>
              <w:widowControl/>
              <w:jc w:val="left"/>
              <w:textAlignment w:val="top"/>
              <w:rPr>
                <w:rFonts w:hint="eastAsia" w:ascii="Times New Roman" w:hAnsi="Times New Roman" w:eastAsia="仿宋_GB2312" w:cs="仿宋_GB2312"/>
                <w:b/>
                <w:bCs/>
                <w:color w:val="000000"/>
                <w:kern w:val="0"/>
                <w:sz w:val="21"/>
                <w:szCs w:val="21"/>
                <w:lang w:bidi="ar"/>
              </w:rPr>
            </w:pPr>
          </w:p>
        </w:tc>
        <w:tc>
          <w:tcPr>
            <w:tcW w:w="1352"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9C44F85">
            <w:pPr>
              <w:widowControl/>
              <w:jc w:val="left"/>
              <w:textAlignment w:val="top"/>
              <w:rPr>
                <w:rFonts w:hint="eastAsia" w:ascii="Times New Roman" w:hAnsi="Times New Roman" w:eastAsia="仿宋_GB2312" w:cs="仿宋_GB2312"/>
                <w:b/>
                <w:bCs/>
                <w:color w:val="000000"/>
                <w:kern w:val="0"/>
                <w:sz w:val="21"/>
                <w:szCs w:val="21"/>
                <w:lang w:bidi="ar"/>
              </w:rPr>
            </w:pPr>
          </w:p>
        </w:tc>
        <w:tc>
          <w:tcPr>
            <w:tcW w:w="1352"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37D2FF4F">
            <w:pPr>
              <w:widowControl/>
              <w:jc w:val="left"/>
              <w:textAlignment w:val="top"/>
              <w:rPr>
                <w:rFonts w:hint="eastAsia" w:ascii="Times New Roman" w:hAnsi="Times New Roman" w:eastAsia="仿宋_GB2312" w:cs="仿宋_GB2312"/>
                <w:b/>
                <w:bCs/>
                <w:color w:val="000000"/>
                <w:kern w:val="0"/>
                <w:sz w:val="21"/>
                <w:szCs w:val="21"/>
                <w:lang w:bidi="ar"/>
              </w:rPr>
            </w:pPr>
          </w:p>
        </w:tc>
        <w:tc>
          <w:tcPr>
            <w:tcW w:w="1373"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4137B2A3">
            <w:pPr>
              <w:widowControl/>
              <w:jc w:val="left"/>
              <w:textAlignment w:val="top"/>
              <w:rPr>
                <w:rFonts w:hint="eastAsia" w:ascii="Times New Roman" w:hAnsi="Times New Roman" w:eastAsia="仿宋_GB2312" w:cs="仿宋_GB2312"/>
                <w:b/>
                <w:bCs/>
                <w:color w:val="000000"/>
                <w:kern w:val="0"/>
                <w:sz w:val="21"/>
                <w:szCs w:val="21"/>
                <w:lang w:bidi="ar"/>
              </w:rPr>
            </w:pPr>
          </w:p>
        </w:tc>
      </w:tr>
      <w:tr w14:paraId="746FD69D">
        <w:tblPrEx>
          <w:tblCellMar>
            <w:top w:w="0" w:type="dxa"/>
            <w:left w:w="108" w:type="dxa"/>
            <w:bottom w:w="0" w:type="dxa"/>
            <w:right w:w="108" w:type="dxa"/>
          </w:tblCellMar>
        </w:tblPrEx>
        <w:trPr>
          <w:trHeight w:val="570" w:hRule="exact"/>
        </w:trPr>
        <w:tc>
          <w:tcPr>
            <w:tcW w:w="254" w:type="pct"/>
            <w:tcBorders>
              <w:top w:val="single" w:color="000000" w:sz="4" w:space="0"/>
              <w:left w:val="single" w:color="000000" w:sz="4" w:space="0"/>
              <w:bottom w:val="single" w:color="000000" w:sz="4" w:space="0"/>
              <w:right w:val="single" w:color="000000" w:sz="4" w:space="0"/>
            </w:tcBorders>
            <w:noWrap w:val="0"/>
            <w:vAlign w:val="center"/>
          </w:tcPr>
          <w:p w14:paraId="26FDAFD1">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13</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14:paraId="5559EADA">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调整后表内外资产余额</w:t>
            </w:r>
          </w:p>
        </w:tc>
        <w:tc>
          <w:tcPr>
            <w:tcW w:w="713" w:type="pct"/>
            <w:tcBorders>
              <w:top w:val="single" w:color="000000" w:sz="4" w:space="0"/>
              <w:left w:val="single" w:color="000000" w:sz="4" w:space="0"/>
              <w:bottom w:val="single" w:color="000000" w:sz="4" w:space="0"/>
              <w:right w:val="single" w:color="000000" w:sz="4" w:space="0"/>
            </w:tcBorders>
            <w:noWrap w:val="0"/>
            <w:vAlign w:val="center"/>
          </w:tcPr>
          <w:p w14:paraId="739488CB">
            <w:pPr>
              <w:widowControl/>
              <w:jc w:val="left"/>
              <w:textAlignment w:val="center"/>
              <w:rPr>
                <w:rFonts w:hint="default"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16299199.94</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4A8582A0">
            <w:pPr>
              <w:widowControl/>
              <w:jc w:val="left"/>
              <w:textAlignment w:val="center"/>
              <w:rPr>
                <w:rFonts w:hint="eastAsia" w:ascii="Times New Roman" w:hAnsi="Times New Roman" w:eastAsia="仿宋_GB2312" w:cs="仿宋_GB2312"/>
                <w:color w:val="000000"/>
                <w:kern w:val="2"/>
                <w:sz w:val="21"/>
                <w:szCs w:val="21"/>
                <w:highlight w:val="none"/>
                <w:lang w:val="en-US" w:eastAsia="zh-CN" w:bidi="ar-SA"/>
              </w:rPr>
            </w:pPr>
            <w:r>
              <w:rPr>
                <w:rFonts w:hint="eastAsia" w:ascii="Times New Roman" w:hAnsi="Times New Roman" w:eastAsia="仿宋_GB2312" w:cs="仿宋_GB2312"/>
                <w:color w:val="000000"/>
                <w:sz w:val="21"/>
                <w:szCs w:val="21"/>
                <w:lang w:val="en-US" w:eastAsia="zh-CN"/>
              </w:rPr>
              <w:t>16063562.42</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7BD2A929">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highlight w:val="none"/>
                <w:lang w:val="en-US" w:eastAsia="zh-CN"/>
              </w:rPr>
              <w:t>16013471.54</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63D7FE11">
            <w:pPr>
              <w:widowControl/>
              <w:jc w:val="left"/>
              <w:textAlignment w:val="center"/>
              <w:rPr>
                <w:rFonts w:hint="eastAsia" w:ascii="Times New Roman" w:hAnsi="Times New Roman" w:eastAsia="仿宋_GB2312" w:cs="仿宋_GB2312"/>
                <w:snapToGrid w:val="0"/>
                <w:color w:val="000000"/>
                <w:kern w:val="0"/>
                <w:sz w:val="21"/>
                <w:szCs w:val="21"/>
                <w:lang w:val="en-US" w:eastAsia="zh-CN" w:bidi="ar-SA"/>
              </w:rPr>
            </w:pPr>
            <w:r>
              <w:rPr>
                <w:rFonts w:hint="eastAsia" w:ascii="Times New Roman" w:hAnsi="Times New Roman" w:eastAsia="仿宋_GB2312" w:cs="仿宋_GB2312"/>
                <w:color w:val="000000"/>
                <w:sz w:val="21"/>
                <w:szCs w:val="21"/>
                <w:highlight w:val="none"/>
                <w:lang w:val="en-US" w:eastAsia="zh-CN"/>
              </w:rPr>
              <w:t>15691490.61</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4F5D9A48">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14724834.22</w:t>
            </w:r>
          </w:p>
        </w:tc>
      </w:tr>
      <w:tr w14:paraId="091A24EB">
        <w:tblPrEx>
          <w:tblCellMar>
            <w:top w:w="0" w:type="dxa"/>
            <w:left w:w="108" w:type="dxa"/>
            <w:bottom w:w="0" w:type="dxa"/>
            <w:right w:w="108" w:type="dxa"/>
          </w:tblCellMar>
        </w:tblPrEx>
        <w:trPr>
          <w:trHeight w:val="482" w:hRule="exact"/>
        </w:trPr>
        <w:tc>
          <w:tcPr>
            <w:tcW w:w="254" w:type="pct"/>
            <w:tcBorders>
              <w:top w:val="single" w:color="000000" w:sz="4" w:space="0"/>
              <w:left w:val="single" w:color="000000" w:sz="4" w:space="0"/>
              <w:bottom w:val="single" w:color="000000" w:sz="4" w:space="0"/>
              <w:right w:val="single" w:color="000000" w:sz="4" w:space="0"/>
            </w:tcBorders>
            <w:noWrap w:val="0"/>
            <w:vAlign w:val="center"/>
          </w:tcPr>
          <w:p w14:paraId="29CEA91A">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14</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14:paraId="1CD2CD1D">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杠杆率（%）</w:t>
            </w:r>
          </w:p>
        </w:tc>
        <w:tc>
          <w:tcPr>
            <w:tcW w:w="713" w:type="pct"/>
            <w:tcBorders>
              <w:top w:val="single" w:color="000000" w:sz="4" w:space="0"/>
              <w:left w:val="single" w:color="000000" w:sz="4" w:space="0"/>
              <w:bottom w:val="single" w:color="000000" w:sz="4" w:space="0"/>
              <w:right w:val="single" w:color="000000" w:sz="4" w:space="0"/>
            </w:tcBorders>
            <w:noWrap w:val="0"/>
            <w:vAlign w:val="center"/>
          </w:tcPr>
          <w:p w14:paraId="1906D05E">
            <w:pPr>
              <w:widowControl/>
              <w:jc w:val="left"/>
              <w:textAlignment w:val="center"/>
              <w:rPr>
                <w:rFonts w:hint="default"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7.38</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60FBEAE0">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7.36</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62D451C9">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highlight w:val="none"/>
                <w:lang w:val="en-US" w:eastAsia="zh-CN"/>
              </w:rPr>
              <w:t>7.15</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1EDA31B8">
            <w:pPr>
              <w:widowControl/>
              <w:jc w:val="left"/>
              <w:textAlignment w:val="center"/>
              <w:rPr>
                <w:rFonts w:hint="eastAsia"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sz w:val="21"/>
                <w:szCs w:val="21"/>
                <w:lang w:val="en-US" w:eastAsia="zh-CN"/>
              </w:rPr>
              <w:t>7.21</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6E5C682C">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7.85</w:t>
            </w:r>
          </w:p>
        </w:tc>
      </w:tr>
      <w:tr w14:paraId="7D29659F">
        <w:tblPrEx>
          <w:tblCellMar>
            <w:top w:w="0" w:type="dxa"/>
            <w:left w:w="108" w:type="dxa"/>
            <w:bottom w:w="0" w:type="dxa"/>
            <w:right w:w="108" w:type="dxa"/>
          </w:tblCellMar>
        </w:tblPrEx>
        <w:trPr>
          <w:trHeight w:val="482" w:hRule="exact"/>
        </w:trPr>
        <w:tc>
          <w:tcPr>
            <w:tcW w:w="254" w:type="pct"/>
            <w:tcBorders>
              <w:top w:val="single" w:color="000000" w:sz="4" w:space="0"/>
              <w:left w:val="single" w:color="000000" w:sz="4" w:space="0"/>
              <w:bottom w:val="single" w:color="000000" w:sz="4" w:space="0"/>
              <w:right w:val="single" w:color="000000" w:sz="4" w:space="0"/>
            </w:tcBorders>
            <w:noWrap w:val="0"/>
            <w:vAlign w:val="center"/>
          </w:tcPr>
          <w:p w14:paraId="39D063E3">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14a</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14:paraId="19437548">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杠杆率a（%）</w:t>
            </w:r>
          </w:p>
        </w:tc>
        <w:tc>
          <w:tcPr>
            <w:tcW w:w="713" w:type="pct"/>
            <w:tcBorders>
              <w:top w:val="single" w:color="000000" w:sz="4" w:space="0"/>
              <w:left w:val="single" w:color="000000" w:sz="4" w:space="0"/>
              <w:bottom w:val="single" w:color="000000" w:sz="4" w:space="0"/>
              <w:right w:val="single" w:color="000000" w:sz="4" w:space="0"/>
            </w:tcBorders>
            <w:noWrap w:val="0"/>
            <w:vAlign w:val="center"/>
          </w:tcPr>
          <w:p w14:paraId="031F5F3C">
            <w:pPr>
              <w:widowControl/>
              <w:jc w:val="left"/>
              <w:textAlignment w:val="center"/>
              <w:rPr>
                <w:rFonts w:hint="default"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7.38</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5292623F">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7.36</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0A549474">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highlight w:val="none"/>
                <w:lang w:val="en-US" w:eastAsia="zh-CN"/>
              </w:rPr>
              <w:t>7.15</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6355A50F">
            <w:pPr>
              <w:widowControl/>
              <w:jc w:val="left"/>
              <w:textAlignment w:val="center"/>
              <w:rPr>
                <w:rFonts w:hint="eastAsia"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sz w:val="21"/>
                <w:szCs w:val="21"/>
                <w:lang w:val="en-US" w:eastAsia="zh-CN"/>
              </w:rPr>
              <w:t>7.21</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7925B3AE">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7.85</w:t>
            </w:r>
          </w:p>
        </w:tc>
      </w:tr>
      <w:tr w14:paraId="6F2FFDED">
        <w:tblPrEx>
          <w:tblCellMar>
            <w:top w:w="0" w:type="dxa"/>
            <w:left w:w="108" w:type="dxa"/>
            <w:bottom w:w="0" w:type="dxa"/>
            <w:right w:w="108" w:type="dxa"/>
          </w:tblCellMar>
        </w:tblPrEx>
        <w:trPr>
          <w:trHeight w:val="482" w:hRule="exact"/>
        </w:trPr>
        <w:tc>
          <w:tcPr>
            <w:tcW w:w="254"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5D95D59">
            <w:pPr>
              <w:rPr>
                <w:rFonts w:hint="eastAsia" w:ascii="Times New Roman" w:hAnsi="Times New Roman" w:eastAsia="仿宋_GB2312" w:cs="仿宋_GB2312"/>
                <w:b/>
                <w:bCs/>
                <w:color w:val="000000"/>
                <w:sz w:val="21"/>
                <w:szCs w:val="21"/>
                <w:highlight w:val="green"/>
              </w:rPr>
            </w:pPr>
          </w:p>
        </w:tc>
        <w:tc>
          <w:tcPr>
            <w:tcW w:w="1902" w:type="pct"/>
            <w:gridSpan w:val="2"/>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41FDCD7F">
            <w:pPr>
              <w:widowControl/>
              <w:jc w:val="left"/>
              <w:textAlignment w:val="top"/>
              <w:rPr>
                <w:rFonts w:hint="eastAsia" w:ascii="Times New Roman" w:hAnsi="Times New Roman" w:eastAsia="仿宋_GB2312" w:cs="仿宋_GB2312"/>
                <w:b/>
                <w:bCs/>
                <w:color w:val="000000"/>
                <w:sz w:val="21"/>
                <w:szCs w:val="21"/>
                <w:highlight w:val="none"/>
              </w:rPr>
            </w:pPr>
            <w:r>
              <w:rPr>
                <w:rFonts w:hint="eastAsia" w:ascii="Times New Roman" w:hAnsi="Times New Roman" w:eastAsia="仿宋_GB2312" w:cs="仿宋_GB2312"/>
                <w:b/>
                <w:bCs/>
                <w:color w:val="000000"/>
                <w:kern w:val="0"/>
                <w:sz w:val="21"/>
                <w:szCs w:val="21"/>
                <w:highlight w:val="none"/>
                <w:lang w:bidi="ar"/>
              </w:rPr>
              <w:t>流动性覆盖率</w:t>
            </w:r>
          </w:p>
        </w:tc>
        <w:tc>
          <w:tcPr>
            <w:tcW w:w="708"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24B78AD">
            <w:pPr>
              <w:widowControl/>
              <w:jc w:val="left"/>
              <w:textAlignment w:val="top"/>
              <w:rPr>
                <w:rFonts w:hint="eastAsia" w:ascii="Times New Roman" w:hAnsi="Times New Roman" w:eastAsia="仿宋_GB2312" w:cs="仿宋_GB2312"/>
                <w:b/>
                <w:bCs/>
                <w:color w:val="000000"/>
                <w:kern w:val="0"/>
                <w:sz w:val="21"/>
                <w:szCs w:val="21"/>
                <w:lang w:bidi="ar"/>
              </w:rPr>
            </w:pPr>
          </w:p>
        </w:tc>
        <w:tc>
          <w:tcPr>
            <w:tcW w:w="1352"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86415AA">
            <w:pPr>
              <w:widowControl/>
              <w:jc w:val="left"/>
              <w:textAlignment w:val="top"/>
              <w:rPr>
                <w:rFonts w:hint="eastAsia" w:ascii="Times New Roman" w:hAnsi="Times New Roman" w:eastAsia="仿宋_GB2312" w:cs="仿宋_GB2312"/>
                <w:b/>
                <w:bCs/>
                <w:color w:val="000000"/>
                <w:kern w:val="0"/>
                <w:sz w:val="21"/>
                <w:szCs w:val="21"/>
                <w:lang w:bidi="ar"/>
              </w:rPr>
            </w:pPr>
          </w:p>
        </w:tc>
        <w:tc>
          <w:tcPr>
            <w:tcW w:w="1352"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3D69AD8">
            <w:pPr>
              <w:widowControl/>
              <w:jc w:val="left"/>
              <w:textAlignment w:val="top"/>
              <w:rPr>
                <w:rFonts w:hint="eastAsia" w:ascii="Times New Roman" w:hAnsi="Times New Roman" w:eastAsia="仿宋_GB2312" w:cs="仿宋_GB2312"/>
                <w:b/>
                <w:bCs/>
                <w:color w:val="000000"/>
                <w:kern w:val="0"/>
                <w:sz w:val="21"/>
                <w:szCs w:val="21"/>
                <w:lang w:bidi="ar"/>
              </w:rPr>
            </w:pPr>
          </w:p>
        </w:tc>
        <w:tc>
          <w:tcPr>
            <w:tcW w:w="1373"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550BA8D6">
            <w:pPr>
              <w:widowControl/>
              <w:jc w:val="left"/>
              <w:textAlignment w:val="top"/>
              <w:rPr>
                <w:rFonts w:hint="eastAsia" w:ascii="Times New Roman" w:hAnsi="Times New Roman" w:eastAsia="仿宋_GB2312" w:cs="仿宋_GB2312"/>
                <w:b/>
                <w:bCs/>
                <w:color w:val="000000"/>
                <w:kern w:val="0"/>
                <w:sz w:val="21"/>
                <w:szCs w:val="21"/>
                <w:lang w:bidi="ar"/>
              </w:rPr>
            </w:pPr>
          </w:p>
        </w:tc>
      </w:tr>
      <w:tr w14:paraId="3C25867F">
        <w:tblPrEx>
          <w:tblCellMar>
            <w:top w:w="0" w:type="dxa"/>
            <w:left w:w="108" w:type="dxa"/>
            <w:bottom w:w="0" w:type="dxa"/>
            <w:right w:w="108" w:type="dxa"/>
          </w:tblCellMar>
        </w:tblPrEx>
        <w:trPr>
          <w:trHeight w:val="482" w:hRule="exact"/>
        </w:trPr>
        <w:tc>
          <w:tcPr>
            <w:tcW w:w="254" w:type="pct"/>
            <w:tcBorders>
              <w:top w:val="single" w:color="000000" w:sz="4" w:space="0"/>
              <w:left w:val="single" w:color="000000" w:sz="4" w:space="0"/>
              <w:bottom w:val="single" w:color="000000" w:sz="4" w:space="0"/>
              <w:right w:val="single" w:color="000000" w:sz="4" w:space="0"/>
            </w:tcBorders>
            <w:noWrap w:val="0"/>
            <w:vAlign w:val="center"/>
          </w:tcPr>
          <w:p w14:paraId="5BD989C1">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15</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14:paraId="2167BCE8">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合格优质流动性资产</w:t>
            </w:r>
          </w:p>
        </w:tc>
        <w:tc>
          <w:tcPr>
            <w:tcW w:w="713" w:type="pct"/>
            <w:tcBorders>
              <w:top w:val="single" w:color="000000" w:sz="4" w:space="0"/>
              <w:left w:val="single" w:color="000000" w:sz="4" w:space="0"/>
              <w:bottom w:val="single" w:color="000000" w:sz="4" w:space="0"/>
              <w:right w:val="single" w:color="000000" w:sz="4" w:space="0"/>
            </w:tcBorders>
            <w:noWrap w:val="0"/>
            <w:vAlign w:val="center"/>
          </w:tcPr>
          <w:p w14:paraId="49A1518E">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不适用</w:t>
            </w:r>
          </w:p>
        </w:tc>
        <w:tc>
          <w:tcPr>
            <w:tcW w:w="708" w:type="pct"/>
            <w:tcBorders>
              <w:top w:val="single" w:color="000000" w:sz="4" w:space="0"/>
              <w:left w:val="single" w:color="000000" w:sz="4" w:space="0"/>
              <w:bottom w:val="single" w:color="000000" w:sz="4" w:space="0"/>
              <w:right w:val="single" w:color="000000" w:sz="4" w:space="0"/>
            </w:tcBorders>
            <w:noWrap w:val="0"/>
            <w:vAlign w:val="center"/>
          </w:tcPr>
          <w:p w14:paraId="5FA3D5AE">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1B6E4022">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2CB4F288">
            <w:pPr>
              <w:widowControl/>
              <w:jc w:val="left"/>
              <w:textAlignment w:val="center"/>
              <w:rPr>
                <w:rFonts w:hint="eastAsia" w:ascii="Times New Roman" w:hAnsi="Times New Roman" w:eastAsia="仿宋_GB2312" w:cs="仿宋_GB2312"/>
                <w:color w:val="000000"/>
                <w:kern w:val="0"/>
                <w:sz w:val="21"/>
                <w:szCs w:val="21"/>
                <w:lang w:bidi="ar"/>
              </w:rPr>
            </w:pPr>
            <w:r>
              <w:rPr>
                <w:rFonts w:hint="eastAsia" w:ascii="Times New Roman" w:hAnsi="Times New Roman" w:eastAsia="仿宋_GB2312" w:cs="仿宋_GB2312"/>
                <w:color w:val="000000"/>
                <w:kern w:val="0"/>
                <w:sz w:val="21"/>
                <w:szCs w:val="21"/>
                <w:lang w:bidi="ar"/>
              </w:rPr>
              <w:t>不适用</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221B00A8">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r>
      <w:tr w14:paraId="6DA76589">
        <w:tblPrEx>
          <w:tblCellMar>
            <w:top w:w="0" w:type="dxa"/>
            <w:left w:w="108" w:type="dxa"/>
            <w:bottom w:w="0" w:type="dxa"/>
            <w:right w:w="108" w:type="dxa"/>
          </w:tblCellMar>
        </w:tblPrEx>
        <w:trPr>
          <w:trHeight w:val="482" w:hRule="exact"/>
        </w:trPr>
        <w:tc>
          <w:tcPr>
            <w:tcW w:w="254" w:type="pct"/>
            <w:tcBorders>
              <w:top w:val="single" w:color="000000" w:sz="4" w:space="0"/>
              <w:left w:val="single" w:color="000000" w:sz="4" w:space="0"/>
              <w:bottom w:val="single" w:color="000000" w:sz="4" w:space="0"/>
              <w:right w:val="single" w:color="000000" w:sz="4" w:space="0"/>
            </w:tcBorders>
            <w:noWrap w:val="0"/>
            <w:vAlign w:val="center"/>
          </w:tcPr>
          <w:p w14:paraId="0871C4EB">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16</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14:paraId="3B8EE17A">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现金净流出量</w:t>
            </w:r>
          </w:p>
        </w:tc>
        <w:tc>
          <w:tcPr>
            <w:tcW w:w="713" w:type="pct"/>
            <w:tcBorders>
              <w:top w:val="single" w:color="000000" w:sz="4" w:space="0"/>
              <w:left w:val="single" w:color="000000" w:sz="4" w:space="0"/>
              <w:bottom w:val="single" w:color="000000" w:sz="4" w:space="0"/>
              <w:right w:val="single" w:color="000000" w:sz="4" w:space="0"/>
            </w:tcBorders>
            <w:noWrap w:val="0"/>
            <w:vAlign w:val="center"/>
          </w:tcPr>
          <w:p w14:paraId="47049E6C">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不适用</w:t>
            </w:r>
          </w:p>
        </w:tc>
        <w:tc>
          <w:tcPr>
            <w:tcW w:w="708" w:type="pct"/>
            <w:tcBorders>
              <w:top w:val="single" w:color="000000" w:sz="4" w:space="0"/>
              <w:left w:val="single" w:color="000000" w:sz="4" w:space="0"/>
              <w:bottom w:val="single" w:color="000000" w:sz="4" w:space="0"/>
              <w:right w:val="single" w:color="000000" w:sz="4" w:space="0"/>
            </w:tcBorders>
            <w:noWrap w:val="0"/>
            <w:vAlign w:val="center"/>
          </w:tcPr>
          <w:p w14:paraId="0397654F">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50EDE372">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2FA69168">
            <w:pPr>
              <w:widowControl/>
              <w:jc w:val="left"/>
              <w:textAlignment w:val="center"/>
              <w:rPr>
                <w:rFonts w:hint="eastAsia" w:ascii="Times New Roman" w:hAnsi="Times New Roman" w:eastAsia="仿宋_GB2312" w:cs="仿宋_GB2312"/>
                <w:color w:val="000000"/>
                <w:kern w:val="0"/>
                <w:sz w:val="21"/>
                <w:szCs w:val="21"/>
                <w:lang w:bidi="ar"/>
              </w:rPr>
            </w:pPr>
            <w:r>
              <w:rPr>
                <w:rFonts w:hint="eastAsia" w:ascii="Times New Roman" w:hAnsi="Times New Roman" w:eastAsia="仿宋_GB2312" w:cs="仿宋_GB2312"/>
                <w:color w:val="000000"/>
                <w:kern w:val="0"/>
                <w:sz w:val="21"/>
                <w:szCs w:val="21"/>
                <w:lang w:bidi="ar"/>
              </w:rPr>
              <w:t>不适用</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144036DA">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r>
      <w:tr w14:paraId="60699B98">
        <w:tblPrEx>
          <w:tblCellMar>
            <w:top w:w="0" w:type="dxa"/>
            <w:left w:w="108" w:type="dxa"/>
            <w:bottom w:w="0" w:type="dxa"/>
            <w:right w:w="108" w:type="dxa"/>
          </w:tblCellMar>
        </w:tblPrEx>
        <w:trPr>
          <w:trHeight w:val="482" w:hRule="exact"/>
        </w:trPr>
        <w:tc>
          <w:tcPr>
            <w:tcW w:w="254" w:type="pct"/>
            <w:tcBorders>
              <w:top w:val="single" w:color="000000" w:sz="4" w:space="0"/>
              <w:left w:val="single" w:color="000000" w:sz="4" w:space="0"/>
              <w:bottom w:val="single" w:color="000000" w:sz="4" w:space="0"/>
              <w:right w:val="single" w:color="000000" w:sz="4" w:space="0"/>
            </w:tcBorders>
            <w:noWrap w:val="0"/>
            <w:vAlign w:val="center"/>
          </w:tcPr>
          <w:p w14:paraId="065D2FA5">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17</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14:paraId="29EDAE60">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流动性覆盖率（%）</w:t>
            </w:r>
          </w:p>
        </w:tc>
        <w:tc>
          <w:tcPr>
            <w:tcW w:w="713" w:type="pct"/>
            <w:tcBorders>
              <w:top w:val="single" w:color="000000" w:sz="4" w:space="0"/>
              <w:left w:val="single" w:color="000000" w:sz="4" w:space="0"/>
              <w:bottom w:val="single" w:color="000000" w:sz="4" w:space="0"/>
              <w:right w:val="single" w:color="000000" w:sz="4" w:space="0"/>
            </w:tcBorders>
            <w:noWrap w:val="0"/>
            <w:vAlign w:val="center"/>
          </w:tcPr>
          <w:p w14:paraId="15B22FA1">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不适用</w:t>
            </w:r>
          </w:p>
        </w:tc>
        <w:tc>
          <w:tcPr>
            <w:tcW w:w="708" w:type="pct"/>
            <w:tcBorders>
              <w:top w:val="single" w:color="000000" w:sz="4" w:space="0"/>
              <w:left w:val="single" w:color="000000" w:sz="4" w:space="0"/>
              <w:bottom w:val="single" w:color="000000" w:sz="4" w:space="0"/>
              <w:right w:val="single" w:color="000000" w:sz="4" w:space="0"/>
            </w:tcBorders>
            <w:noWrap w:val="0"/>
            <w:vAlign w:val="center"/>
          </w:tcPr>
          <w:p w14:paraId="07679723">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4A84346F">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67CCCFBC">
            <w:pPr>
              <w:widowControl/>
              <w:jc w:val="left"/>
              <w:textAlignment w:val="center"/>
              <w:rPr>
                <w:rFonts w:hint="eastAsia" w:ascii="Times New Roman" w:hAnsi="Times New Roman" w:eastAsia="仿宋_GB2312" w:cs="仿宋_GB2312"/>
                <w:color w:val="000000"/>
                <w:kern w:val="0"/>
                <w:sz w:val="21"/>
                <w:szCs w:val="21"/>
                <w:lang w:bidi="ar"/>
              </w:rPr>
            </w:pPr>
            <w:r>
              <w:rPr>
                <w:rFonts w:hint="eastAsia" w:ascii="Times New Roman" w:hAnsi="Times New Roman" w:eastAsia="仿宋_GB2312" w:cs="仿宋_GB2312"/>
                <w:color w:val="000000"/>
                <w:kern w:val="0"/>
                <w:sz w:val="21"/>
                <w:szCs w:val="21"/>
                <w:lang w:bidi="ar"/>
              </w:rPr>
              <w:t>不适用</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6EC0016E">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r>
      <w:tr w14:paraId="15D6205A">
        <w:tblPrEx>
          <w:tblCellMar>
            <w:top w:w="0" w:type="dxa"/>
            <w:left w:w="108" w:type="dxa"/>
            <w:bottom w:w="0" w:type="dxa"/>
            <w:right w:w="108" w:type="dxa"/>
          </w:tblCellMar>
        </w:tblPrEx>
        <w:trPr>
          <w:trHeight w:val="482" w:hRule="exact"/>
        </w:trPr>
        <w:tc>
          <w:tcPr>
            <w:tcW w:w="254"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5C2D0209">
            <w:pPr>
              <w:rPr>
                <w:rFonts w:hint="eastAsia" w:ascii="Times New Roman" w:hAnsi="Times New Roman" w:eastAsia="仿宋_GB2312" w:cs="仿宋_GB2312"/>
                <w:b/>
                <w:bCs/>
                <w:color w:val="000000"/>
                <w:sz w:val="21"/>
                <w:szCs w:val="21"/>
                <w:highlight w:val="none"/>
              </w:rPr>
            </w:pPr>
          </w:p>
        </w:tc>
        <w:tc>
          <w:tcPr>
            <w:tcW w:w="1902" w:type="pct"/>
            <w:gridSpan w:val="2"/>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024C0B3A">
            <w:pPr>
              <w:widowControl/>
              <w:jc w:val="left"/>
              <w:textAlignment w:val="top"/>
              <w:rPr>
                <w:rFonts w:hint="eastAsia" w:ascii="Times New Roman" w:hAnsi="Times New Roman" w:eastAsia="仿宋_GB2312" w:cs="仿宋_GB2312"/>
                <w:b/>
                <w:bCs/>
                <w:color w:val="000000"/>
                <w:sz w:val="21"/>
                <w:szCs w:val="21"/>
                <w:highlight w:val="none"/>
              </w:rPr>
            </w:pPr>
            <w:r>
              <w:rPr>
                <w:rFonts w:hint="eastAsia" w:ascii="Times New Roman" w:hAnsi="Times New Roman" w:eastAsia="仿宋_GB2312" w:cs="仿宋_GB2312"/>
                <w:b/>
                <w:bCs/>
                <w:color w:val="000000"/>
                <w:kern w:val="0"/>
                <w:sz w:val="21"/>
                <w:szCs w:val="21"/>
                <w:highlight w:val="none"/>
                <w:lang w:bidi="ar"/>
              </w:rPr>
              <w:t>净稳定资金比例</w:t>
            </w:r>
          </w:p>
        </w:tc>
        <w:tc>
          <w:tcPr>
            <w:tcW w:w="708"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1A1A0D8B">
            <w:pPr>
              <w:widowControl/>
              <w:jc w:val="left"/>
              <w:textAlignment w:val="top"/>
              <w:rPr>
                <w:rFonts w:hint="eastAsia" w:ascii="Times New Roman" w:hAnsi="Times New Roman" w:eastAsia="仿宋_GB2312" w:cs="仿宋_GB2312"/>
                <w:b/>
                <w:bCs/>
                <w:color w:val="000000"/>
                <w:kern w:val="0"/>
                <w:sz w:val="21"/>
                <w:szCs w:val="21"/>
                <w:lang w:bidi="ar"/>
              </w:rPr>
            </w:pPr>
          </w:p>
        </w:tc>
        <w:tc>
          <w:tcPr>
            <w:tcW w:w="1352"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381D099F">
            <w:pPr>
              <w:widowControl/>
              <w:jc w:val="left"/>
              <w:textAlignment w:val="top"/>
              <w:rPr>
                <w:rFonts w:hint="eastAsia" w:ascii="Times New Roman" w:hAnsi="Times New Roman" w:eastAsia="仿宋_GB2312" w:cs="仿宋_GB2312"/>
                <w:b/>
                <w:bCs/>
                <w:color w:val="000000"/>
                <w:kern w:val="0"/>
                <w:sz w:val="21"/>
                <w:szCs w:val="21"/>
                <w:lang w:bidi="ar"/>
              </w:rPr>
            </w:pPr>
          </w:p>
        </w:tc>
        <w:tc>
          <w:tcPr>
            <w:tcW w:w="1352"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B33CF04">
            <w:pPr>
              <w:widowControl/>
              <w:jc w:val="left"/>
              <w:textAlignment w:val="top"/>
              <w:rPr>
                <w:rFonts w:hint="eastAsia" w:ascii="Times New Roman" w:hAnsi="Times New Roman" w:eastAsia="仿宋_GB2312" w:cs="仿宋_GB2312"/>
                <w:b/>
                <w:bCs/>
                <w:color w:val="000000"/>
                <w:kern w:val="0"/>
                <w:sz w:val="21"/>
                <w:szCs w:val="21"/>
                <w:lang w:bidi="ar"/>
              </w:rPr>
            </w:pPr>
          </w:p>
        </w:tc>
        <w:tc>
          <w:tcPr>
            <w:tcW w:w="1373"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12D7F26">
            <w:pPr>
              <w:widowControl/>
              <w:jc w:val="left"/>
              <w:textAlignment w:val="top"/>
              <w:rPr>
                <w:rFonts w:hint="eastAsia" w:ascii="Times New Roman" w:hAnsi="Times New Roman" w:eastAsia="仿宋_GB2312" w:cs="仿宋_GB2312"/>
                <w:b/>
                <w:bCs/>
                <w:color w:val="000000"/>
                <w:kern w:val="0"/>
                <w:sz w:val="21"/>
                <w:szCs w:val="21"/>
                <w:lang w:bidi="ar"/>
              </w:rPr>
            </w:pPr>
          </w:p>
        </w:tc>
      </w:tr>
      <w:tr w14:paraId="625E7BF8">
        <w:tblPrEx>
          <w:tblCellMar>
            <w:top w:w="0" w:type="dxa"/>
            <w:left w:w="108" w:type="dxa"/>
            <w:bottom w:w="0" w:type="dxa"/>
            <w:right w:w="108" w:type="dxa"/>
          </w:tblCellMar>
        </w:tblPrEx>
        <w:trPr>
          <w:trHeight w:val="482" w:hRule="exact"/>
        </w:trPr>
        <w:tc>
          <w:tcPr>
            <w:tcW w:w="254" w:type="pct"/>
            <w:tcBorders>
              <w:top w:val="single" w:color="000000" w:sz="4" w:space="0"/>
              <w:left w:val="single" w:color="000000" w:sz="4" w:space="0"/>
              <w:bottom w:val="single" w:color="000000" w:sz="4" w:space="0"/>
              <w:right w:val="single" w:color="000000" w:sz="4" w:space="0"/>
            </w:tcBorders>
            <w:noWrap w:val="0"/>
            <w:vAlign w:val="center"/>
          </w:tcPr>
          <w:p w14:paraId="71D9ADD3">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18</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14:paraId="21FBC682">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可用稳定资金合计</w:t>
            </w:r>
          </w:p>
        </w:tc>
        <w:tc>
          <w:tcPr>
            <w:tcW w:w="713" w:type="pct"/>
            <w:tcBorders>
              <w:top w:val="single" w:color="000000" w:sz="4" w:space="0"/>
              <w:left w:val="single" w:color="000000" w:sz="4" w:space="0"/>
              <w:bottom w:val="single" w:color="000000" w:sz="4" w:space="0"/>
              <w:right w:val="single" w:color="000000" w:sz="4" w:space="0"/>
            </w:tcBorders>
            <w:noWrap w:val="0"/>
            <w:vAlign w:val="center"/>
          </w:tcPr>
          <w:p w14:paraId="624CA6CA">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不适用</w:t>
            </w:r>
          </w:p>
        </w:tc>
        <w:tc>
          <w:tcPr>
            <w:tcW w:w="708" w:type="pct"/>
            <w:tcBorders>
              <w:top w:val="single" w:color="000000" w:sz="4" w:space="0"/>
              <w:left w:val="single" w:color="000000" w:sz="4" w:space="0"/>
              <w:bottom w:val="single" w:color="000000" w:sz="4" w:space="0"/>
              <w:right w:val="single" w:color="000000" w:sz="4" w:space="0"/>
            </w:tcBorders>
            <w:noWrap w:val="0"/>
            <w:vAlign w:val="center"/>
          </w:tcPr>
          <w:p w14:paraId="68E03A90">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0BBE4587">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1A26510B">
            <w:pPr>
              <w:widowControl/>
              <w:jc w:val="left"/>
              <w:textAlignment w:val="center"/>
              <w:rPr>
                <w:rFonts w:hint="eastAsia" w:ascii="Times New Roman" w:hAnsi="Times New Roman" w:eastAsia="仿宋_GB2312" w:cs="仿宋_GB2312"/>
                <w:color w:val="000000"/>
                <w:kern w:val="0"/>
                <w:sz w:val="21"/>
                <w:szCs w:val="21"/>
                <w:lang w:bidi="ar"/>
              </w:rPr>
            </w:pPr>
            <w:r>
              <w:rPr>
                <w:rFonts w:hint="eastAsia" w:ascii="Times New Roman" w:hAnsi="Times New Roman" w:eastAsia="仿宋_GB2312" w:cs="仿宋_GB2312"/>
                <w:color w:val="000000"/>
                <w:kern w:val="0"/>
                <w:sz w:val="21"/>
                <w:szCs w:val="21"/>
                <w:lang w:bidi="ar"/>
              </w:rPr>
              <w:t>不适用</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10EA764A">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r>
      <w:tr w14:paraId="5FD66D7A">
        <w:tblPrEx>
          <w:tblCellMar>
            <w:top w:w="0" w:type="dxa"/>
            <w:left w:w="108" w:type="dxa"/>
            <w:bottom w:w="0" w:type="dxa"/>
            <w:right w:w="108" w:type="dxa"/>
          </w:tblCellMar>
        </w:tblPrEx>
        <w:trPr>
          <w:trHeight w:val="482" w:hRule="exact"/>
        </w:trPr>
        <w:tc>
          <w:tcPr>
            <w:tcW w:w="254" w:type="pct"/>
            <w:tcBorders>
              <w:top w:val="single" w:color="000000" w:sz="4" w:space="0"/>
              <w:left w:val="single" w:color="000000" w:sz="4" w:space="0"/>
              <w:bottom w:val="single" w:color="000000" w:sz="4" w:space="0"/>
              <w:right w:val="single" w:color="000000" w:sz="4" w:space="0"/>
            </w:tcBorders>
            <w:noWrap w:val="0"/>
            <w:vAlign w:val="center"/>
          </w:tcPr>
          <w:p w14:paraId="5E6FB0DD">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19</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14:paraId="7D991495">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所需稳定资金合计</w:t>
            </w:r>
          </w:p>
        </w:tc>
        <w:tc>
          <w:tcPr>
            <w:tcW w:w="713" w:type="pct"/>
            <w:tcBorders>
              <w:top w:val="single" w:color="000000" w:sz="4" w:space="0"/>
              <w:left w:val="single" w:color="000000" w:sz="4" w:space="0"/>
              <w:bottom w:val="single" w:color="000000" w:sz="4" w:space="0"/>
              <w:right w:val="single" w:color="000000" w:sz="4" w:space="0"/>
            </w:tcBorders>
            <w:noWrap w:val="0"/>
            <w:vAlign w:val="center"/>
          </w:tcPr>
          <w:p w14:paraId="404D11BA">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不适用</w:t>
            </w:r>
          </w:p>
        </w:tc>
        <w:tc>
          <w:tcPr>
            <w:tcW w:w="708" w:type="pct"/>
            <w:tcBorders>
              <w:top w:val="single" w:color="000000" w:sz="4" w:space="0"/>
              <w:left w:val="single" w:color="000000" w:sz="4" w:space="0"/>
              <w:bottom w:val="single" w:color="000000" w:sz="4" w:space="0"/>
              <w:right w:val="single" w:color="000000" w:sz="4" w:space="0"/>
            </w:tcBorders>
            <w:noWrap w:val="0"/>
            <w:vAlign w:val="center"/>
          </w:tcPr>
          <w:p w14:paraId="0B7553C0">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2952DE2F">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6EB58368">
            <w:pPr>
              <w:widowControl/>
              <w:jc w:val="left"/>
              <w:textAlignment w:val="center"/>
              <w:rPr>
                <w:rFonts w:hint="eastAsia" w:ascii="Times New Roman" w:hAnsi="Times New Roman" w:eastAsia="仿宋_GB2312" w:cs="仿宋_GB2312"/>
                <w:color w:val="000000"/>
                <w:kern w:val="0"/>
                <w:sz w:val="21"/>
                <w:szCs w:val="21"/>
                <w:lang w:bidi="ar"/>
              </w:rPr>
            </w:pPr>
            <w:r>
              <w:rPr>
                <w:rFonts w:hint="eastAsia" w:ascii="Times New Roman" w:hAnsi="Times New Roman" w:eastAsia="仿宋_GB2312" w:cs="仿宋_GB2312"/>
                <w:color w:val="000000"/>
                <w:kern w:val="0"/>
                <w:sz w:val="21"/>
                <w:szCs w:val="21"/>
                <w:lang w:bidi="ar"/>
              </w:rPr>
              <w:t>不适用</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041B3E23">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r>
      <w:tr w14:paraId="4888B91C">
        <w:tblPrEx>
          <w:tblCellMar>
            <w:top w:w="0" w:type="dxa"/>
            <w:left w:w="108" w:type="dxa"/>
            <w:bottom w:w="0" w:type="dxa"/>
            <w:right w:w="108" w:type="dxa"/>
          </w:tblCellMar>
        </w:tblPrEx>
        <w:trPr>
          <w:trHeight w:val="482" w:hRule="exact"/>
        </w:trPr>
        <w:tc>
          <w:tcPr>
            <w:tcW w:w="254" w:type="pct"/>
            <w:tcBorders>
              <w:top w:val="single" w:color="000000" w:sz="4" w:space="0"/>
              <w:left w:val="single" w:color="000000" w:sz="4" w:space="0"/>
              <w:bottom w:val="single" w:color="000000" w:sz="4" w:space="0"/>
              <w:right w:val="single" w:color="000000" w:sz="4" w:space="0"/>
            </w:tcBorders>
            <w:noWrap w:val="0"/>
            <w:vAlign w:val="center"/>
          </w:tcPr>
          <w:p w14:paraId="301C40CC">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20</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14:paraId="1D5890D0">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净稳定资金比例（%）</w:t>
            </w:r>
          </w:p>
        </w:tc>
        <w:tc>
          <w:tcPr>
            <w:tcW w:w="713" w:type="pct"/>
            <w:tcBorders>
              <w:top w:val="single" w:color="000000" w:sz="4" w:space="0"/>
              <w:left w:val="single" w:color="000000" w:sz="4" w:space="0"/>
              <w:bottom w:val="single" w:color="000000" w:sz="4" w:space="0"/>
              <w:right w:val="single" w:color="000000" w:sz="4" w:space="0"/>
            </w:tcBorders>
            <w:noWrap w:val="0"/>
            <w:vAlign w:val="center"/>
          </w:tcPr>
          <w:p w14:paraId="4EF4CD7A">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不适用</w:t>
            </w:r>
          </w:p>
        </w:tc>
        <w:tc>
          <w:tcPr>
            <w:tcW w:w="708" w:type="pct"/>
            <w:tcBorders>
              <w:top w:val="single" w:color="000000" w:sz="4" w:space="0"/>
              <w:left w:val="single" w:color="000000" w:sz="4" w:space="0"/>
              <w:bottom w:val="single" w:color="000000" w:sz="4" w:space="0"/>
              <w:right w:val="single" w:color="000000" w:sz="4" w:space="0"/>
            </w:tcBorders>
            <w:noWrap w:val="0"/>
            <w:vAlign w:val="center"/>
          </w:tcPr>
          <w:p w14:paraId="3A39C369">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176258E4">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c>
          <w:tcPr>
            <w:tcW w:w="1352" w:type="dxa"/>
            <w:tcBorders>
              <w:top w:val="single" w:color="000000" w:sz="4" w:space="0"/>
              <w:left w:val="single" w:color="000000" w:sz="4" w:space="0"/>
              <w:bottom w:val="single" w:color="000000" w:sz="4" w:space="0"/>
              <w:right w:val="single" w:color="000000" w:sz="4" w:space="0"/>
            </w:tcBorders>
            <w:noWrap w:val="0"/>
            <w:vAlign w:val="center"/>
          </w:tcPr>
          <w:p w14:paraId="0E5ECB91">
            <w:pPr>
              <w:widowControl/>
              <w:jc w:val="left"/>
              <w:textAlignment w:val="center"/>
              <w:rPr>
                <w:rFonts w:hint="eastAsia" w:ascii="Times New Roman" w:hAnsi="Times New Roman" w:eastAsia="仿宋_GB2312" w:cs="仿宋_GB2312"/>
                <w:color w:val="000000"/>
                <w:kern w:val="0"/>
                <w:sz w:val="21"/>
                <w:szCs w:val="21"/>
                <w:lang w:bidi="ar"/>
              </w:rPr>
            </w:pPr>
            <w:r>
              <w:rPr>
                <w:rFonts w:hint="eastAsia" w:ascii="Times New Roman" w:hAnsi="Times New Roman" w:eastAsia="仿宋_GB2312" w:cs="仿宋_GB2312"/>
                <w:color w:val="000000"/>
                <w:kern w:val="0"/>
                <w:sz w:val="21"/>
                <w:szCs w:val="21"/>
                <w:lang w:bidi="ar"/>
              </w:rPr>
              <w:t>不适用</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0F7DA500">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r>
      <w:tr w14:paraId="4FCFF0EE">
        <w:tblPrEx>
          <w:tblCellMar>
            <w:top w:w="0" w:type="dxa"/>
            <w:left w:w="108" w:type="dxa"/>
            <w:bottom w:w="0" w:type="dxa"/>
            <w:right w:w="108" w:type="dxa"/>
          </w:tblCellMar>
        </w:tblPrEx>
        <w:trPr>
          <w:trHeight w:val="482" w:hRule="exact"/>
        </w:trPr>
        <w:tc>
          <w:tcPr>
            <w:tcW w:w="254" w:type="pct"/>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1E5A151E">
            <w:pPr>
              <w:rPr>
                <w:rFonts w:hint="eastAsia" w:ascii="Times New Roman" w:hAnsi="Times New Roman" w:eastAsia="仿宋_GB2312" w:cs="仿宋_GB2312"/>
                <w:b/>
                <w:bCs/>
                <w:color w:val="000000"/>
                <w:sz w:val="21"/>
                <w:szCs w:val="21"/>
                <w:highlight w:val="none"/>
              </w:rPr>
            </w:pPr>
          </w:p>
        </w:tc>
        <w:tc>
          <w:tcPr>
            <w:tcW w:w="1902" w:type="pct"/>
            <w:gridSpan w:val="2"/>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577E15EF">
            <w:pPr>
              <w:widowControl/>
              <w:jc w:val="left"/>
              <w:textAlignment w:val="top"/>
              <w:rPr>
                <w:rFonts w:hint="eastAsia" w:ascii="Times New Roman" w:hAnsi="Times New Roman" w:eastAsia="仿宋_GB2312" w:cs="仿宋_GB2312"/>
                <w:b/>
                <w:bCs/>
                <w:color w:val="000000"/>
                <w:sz w:val="21"/>
                <w:szCs w:val="21"/>
                <w:highlight w:val="none"/>
              </w:rPr>
            </w:pPr>
            <w:r>
              <w:rPr>
                <w:rFonts w:hint="eastAsia" w:ascii="Times New Roman" w:hAnsi="Times New Roman" w:eastAsia="仿宋_GB2312" w:cs="仿宋_GB2312"/>
                <w:b/>
                <w:bCs/>
                <w:color w:val="000000"/>
                <w:kern w:val="0"/>
                <w:sz w:val="21"/>
                <w:szCs w:val="21"/>
                <w:highlight w:val="none"/>
                <w:lang w:bidi="ar"/>
              </w:rPr>
              <w:t>流动性比例</w:t>
            </w:r>
          </w:p>
        </w:tc>
        <w:tc>
          <w:tcPr>
            <w:tcW w:w="708" w:type="pct"/>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6E3C3D0A">
            <w:pPr>
              <w:widowControl/>
              <w:jc w:val="left"/>
              <w:textAlignment w:val="top"/>
              <w:rPr>
                <w:rFonts w:hint="eastAsia" w:ascii="Times New Roman" w:hAnsi="Times New Roman" w:eastAsia="仿宋_GB2312" w:cs="仿宋_GB2312"/>
                <w:b/>
                <w:bCs/>
                <w:color w:val="000000"/>
                <w:kern w:val="0"/>
                <w:sz w:val="21"/>
                <w:szCs w:val="21"/>
                <w:lang w:bidi="ar"/>
              </w:rPr>
            </w:pPr>
          </w:p>
        </w:tc>
        <w:tc>
          <w:tcPr>
            <w:tcW w:w="1352" w:type="dxa"/>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4A8457DA">
            <w:pPr>
              <w:widowControl/>
              <w:jc w:val="left"/>
              <w:textAlignment w:val="top"/>
              <w:rPr>
                <w:rFonts w:hint="eastAsia" w:ascii="Times New Roman" w:hAnsi="Times New Roman" w:eastAsia="仿宋_GB2312" w:cs="仿宋_GB2312"/>
                <w:b/>
                <w:bCs/>
                <w:color w:val="000000"/>
                <w:kern w:val="0"/>
                <w:sz w:val="21"/>
                <w:szCs w:val="21"/>
                <w:lang w:bidi="ar"/>
              </w:rPr>
            </w:pPr>
          </w:p>
        </w:tc>
        <w:tc>
          <w:tcPr>
            <w:tcW w:w="1352" w:type="dxa"/>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45C8128F">
            <w:pPr>
              <w:widowControl/>
              <w:jc w:val="left"/>
              <w:textAlignment w:val="top"/>
              <w:rPr>
                <w:rFonts w:hint="eastAsia" w:ascii="Times New Roman" w:hAnsi="Times New Roman" w:eastAsia="仿宋_GB2312" w:cs="仿宋_GB2312"/>
                <w:b/>
                <w:bCs/>
                <w:color w:val="000000"/>
                <w:kern w:val="0"/>
                <w:sz w:val="21"/>
                <w:szCs w:val="21"/>
                <w:lang w:bidi="ar"/>
              </w:rPr>
            </w:pPr>
          </w:p>
        </w:tc>
        <w:tc>
          <w:tcPr>
            <w:tcW w:w="1373" w:type="dxa"/>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7377A38F">
            <w:pPr>
              <w:widowControl/>
              <w:jc w:val="left"/>
              <w:textAlignment w:val="top"/>
              <w:rPr>
                <w:rFonts w:hint="eastAsia" w:ascii="Times New Roman" w:hAnsi="Times New Roman" w:eastAsia="仿宋_GB2312" w:cs="仿宋_GB2312"/>
                <w:b/>
                <w:bCs/>
                <w:color w:val="000000"/>
                <w:kern w:val="0"/>
                <w:sz w:val="21"/>
                <w:szCs w:val="21"/>
                <w:lang w:bidi="ar"/>
              </w:rPr>
            </w:pPr>
          </w:p>
        </w:tc>
      </w:tr>
      <w:tr w14:paraId="5A7043EB">
        <w:tblPrEx>
          <w:tblCellMar>
            <w:top w:w="0" w:type="dxa"/>
            <w:left w:w="108" w:type="dxa"/>
            <w:bottom w:w="0" w:type="dxa"/>
            <w:right w:w="108" w:type="dxa"/>
          </w:tblCellMar>
        </w:tblPrEx>
        <w:trPr>
          <w:trHeight w:val="482" w:hRule="exact"/>
        </w:trPr>
        <w:tc>
          <w:tcPr>
            <w:tcW w:w="25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9D22D7">
            <w:pPr>
              <w:widowControl/>
              <w:jc w:val="center"/>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21</w:t>
            </w:r>
          </w:p>
        </w:tc>
        <w:tc>
          <w:tcPr>
            <w:tcW w:w="118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BA5DAA">
            <w:pPr>
              <w:widowControl/>
              <w:jc w:val="left"/>
              <w:textAlignment w:val="center"/>
              <w:rPr>
                <w:rFonts w:hint="eastAsia" w:ascii="Times New Roman" w:hAnsi="Times New Roman" w:eastAsia="仿宋_GB2312" w:cs="仿宋_GB2312"/>
                <w:color w:val="000000"/>
                <w:sz w:val="21"/>
                <w:szCs w:val="21"/>
                <w:highlight w:val="none"/>
              </w:rPr>
            </w:pPr>
            <w:r>
              <w:rPr>
                <w:rFonts w:hint="eastAsia" w:ascii="Times New Roman" w:hAnsi="Times New Roman" w:eastAsia="仿宋_GB2312" w:cs="仿宋_GB2312"/>
                <w:color w:val="000000"/>
                <w:kern w:val="0"/>
                <w:sz w:val="21"/>
                <w:szCs w:val="21"/>
                <w:highlight w:val="none"/>
                <w:lang w:bidi="ar"/>
              </w:rPr>
              <w:t>流动性比例（%）</w:t>
            </w:r>
          </w:p>
        </w:tc>
        <w:tc>
          <w:tcPr>
            <w:tcW w:w="71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ED0DD3">
            <w:pPr>
              <w:widowControl/>
              <w:jc w:val="left"/>
              <w:textAlignment w:val="center"/>
              <w:rPr>
                <w:rFonts w:hint="default" w:ascii="Times New Roman" w:hAnsi="Times New Roman" w:eastAsia="仿宋_GB2312" w:cs="仿宋_GB2312"/>
                <w:color w:val="000000"/>
                <w:sz w:val="21"/>
                <w:szCs w:val="21"/>
                <w:highlight w:val="none"/>
                <w:lang w:val="en-US" w:eastAsia="zh-CN"/>
              </w:rPr>
            </w:pPr>
            <w:r>
              <w:rPr>
                <w:rFonts w:hint="eastAsia" w:ascii="Times New Roman" w:hAnsi="Times New Roman" w:eastAsia="仿宋_GB2312" w:cs="仿宋_GB2312"/>
                <w:color w:val="000000"/>
                <w:sz w:val="21"/>
                <w:szCs w:val="21"/>
                <w:highlight w:val="none"/>
                <w:lang w:val="en-US" w:eastAsia="zh-CN"/>
              </w:rPr>
              <w:t>69.73</w:t>
            </w:r>
          </w:p>
        </w:tc>
        <w:tc>
          <w:tcPr>
            <w:tcW w:w="70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4F1F8C">
            <w:pPr>
              <w:widowControl/>
              <w:jc w:val="left"/>
              <w:textAlignment w:val="center"/>
              <w:rPr>
                <w:rFonts w:hint="eastAsia"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sz w:val="21"/>
                <w:szCs w:val="21"/>
                <w:lang w:val="en-US" w:eastAsia="zh-CN"/>
              </w:rPr>
              <w:t>61.65</w:t>
            </w:r>
          </w:p>
        </w:tc>
        <w:tc>
          <w:tcPr>
            <w:tcW w:w="135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963C4B">
            <w:pPr>
              <w:widowControl/>
              <w:jc w:val="left"/>
              <w:textAlignment w:val="center"/>
              <w:rPr>
                <w:rFonts w:hint="eastAsia"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sz w:val="21"/>
                <w:szCs w:val="21"/>
                <w:highlight w:val="none"/>
                <w:lang w:val="en-US" w:eastAsia="zh-CN"/>
              </w:rPr>
              <w:t>54.43</w:t>
            </w:r>
          </w:p>
        </w:tc>
        <w:tc>
          <w:tcPr>
            <w:tcW w:w="135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1D9AD9">
            <w:pPr>
              <w:widowControl/>
              <w:jc w:val="left"/>
              <w:textAlignment w:val="center"/>
              <w:rPr>
                <w:rFonts w:hint="eastAsia"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sz w:val="21"/>
                <w:szCs w:val="21"/>
                <w:lang w:val="en-US" w:eastAsia="zh-CN"/>
              </w:rPr>
              <w:t>68.88</w:t>
            </w:r>
          </w:p>
        </w:tc>
        <w:tc>
          <w:tcPr>
            <w:tcW w:w="137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D6CAEE">
            <w:pPr>
              <w:widowControl/>
              <w:jc w:val="left"/>
              <w:textAlignment w:val="center"/>
              <w:rPr>
                <w:rFonts w:hint="default"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60.74</w:t>
            </w:r>
          </w:p>
        </w:tc>
      </w:tr>
    </w:tbl>
    <w:p w14:paraId="66EF1FE3">
      <w:pPr>
        <w:spacing w:line="560" w:lineRule="exact"/>
        <w:ind w:right="320"/>
        <w:jc w:val="both"/>
        <w:rPr>
          <w:rFonts w:hint="eastAsia" w:ascii="Times New Roman" w:hAnsi="Times New Roman" w:eastAsia="仿宋_GB2312" w:cs="仿宋_GB2312"/>
          <w:sz w:val="24"/>
          <w:szCs w:val="24"/>
        </w:rPr>
      </w:pPr>
    </w:p>
    <w:p w14:paraId="49327407">
      <w:pPr>
        <w:spacing w:line="560" w:lineRule="exact"/>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附表2：表格CC1资本构成</w:t>
      </w:r>
    </w:p>
    <w:p w14:paraId="4AC70070">
      <w:pPr>
        <w:spacing w:line="560" w:lineRule="exact"/>
        <w:ind w:firstLine="640" w:firstLineChars="200"/>
        <w:rPr>
          <w:rFonts w:hint="eastAsia" w:ascii="Times New Roman" w:hAnsi="Times New Roman" w:eastAsia="仿宋_GB2312" w:cs="仿宋_GB2312"/>
          <w:sz w:val="32"/>
          <w:szCs w:val="32"/>
          <w:highlight w:val="none"/>
          <w:lang w:val="en-US" w:eastAsia="zh-CN"/>
        </w:rPr>
      </w:pPr>
      <w:r>
        <w:rPr>
          <w:rFonts w:hint="eastAsia" w:ascii="Times New Roman" w:hAnsi="Times New Roman" w:eastAsia="仿宋_GB2312" w:cs="仿宋_GB2312"/>
          <w:sz w:val="32"/>
          <w:szCs w:val="32"/>
          <w:highlight w:val="none"/>
        </w:rPr>
        <w:t>截至202</w:t>
      </w:r>
      <w:r>
        <w:rPr>
          <w:rFonts w:hint="eastAsia" w:ascii="Times New Roman" w:hAnsi="Times New Roman" w:eastAsia="仿宋_GB2312" w:cs="仿宋_GB2312"/>
          <w:sz w:val="32"/>
          <w:szCs w:val="32"/>
          <w:highlight w:val="none"/>
          <w:lang w:val="en-US" w:eastAsia="zh-CN"/>
        </w:rPr>
        <w:t>6</w:t>
      </w:r>
      <w:r>
        <w:rPr>
          <w:rFonts w:hint="eastAsia" w:ascii="Times New Roman" w:hAnsi="Times New Roman" w:eastAsia="仿宋_GB2312" w:cs="仿宋_GB2312"/>
          <w:sz w:val="32"/>
          <w:szCs w:val="32"/>
          <w:highlight w:val="none"/>
        </w:rPr>
        <w:t>年</w:t>
      </w:r>
      <w:r>
        <w:rPr>
          <w:rFonts w:hint="eastAsia" w:ascii="Times New Roman" w:hAnsi="Times New Roman" w:eastAsia="仿宋_GB2312" w:cs="仿宋_GB2312"/>
          <w:sz w:val="32"/>
          <w:szCs w:val="32"/>
          <w:highlight w:val="none"/>
          <w:lang w:val="en-US" w:eastAsia="zh-CN"/>
        </w:rPr>
        <w:t>6</w:t>
      </w:r>
      <w:r>
        <w:rPr>
          <w:rFonts w:hint="eastAsia" w:ascii="Times New Roman" w:hAnsi="Times New Roman" w:eastAsia="仿宋_GB2312" w:cs="仿宋_GB2312"/>
          <w:sz w:val="32"/>
          <w:szCs w:val="32"/>
          <w:highlight w:val="none"/>
        </w:rPr>
        <w:t>月</w:t>
      </w:r>
      <w:r>
        <w:rPr>
          <w:rFonts w:hint="eastAsia" w:ascii="Times New Roman" w:hAnsi="Times New Roman" w:eastAsia="仿宋_GB2312" w:cs="仿宋_GB2312"/>
          <w:sz w:val="32"/>
          <w:szCs w:val="32"/>
          <w:highlight w:val="none"/>
          <w:lang w:val="en-US" w:eastAsia="zh-CN"/>
        </w:rPr>
        <w:t>30</w:t>
      </w:r>
      <w:r>
        <w:rPr>
          <w:rFonts w:hint="eastAsia" w:ascii="Times New Roman" w:hAnsi="Times New Roman" w:eastAsia="仿宋_GB2312" w:cs="仿宋_GB2312"/>
          <w:sz w:val="32"/>
          <w:szCs w:val="32"/>
          <w:highlight w:val="none"/>
        </w:rPr>
        <w:t>日</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lang w:val="en-US" w:eastAsia="zh-CN"/>
        </w:rPr>
        <w:t>本</w:t>
      </w:r>
      <w:r>
        <w:rPr>
          <w:rFonts w:hint="eastAsia" w:ascii="Times New Roman" w:hAnsi="Times New Roman" w:eastAsia="仿宋_GB2312" w:cs="仿宋_GB2312"/>
          <w:sz w:val="32"/>
          <w:szCs w:val="32"/>
          <w:highlight w:val="none"/>
          <w:lang w:eastAsia="zh-CN"/>
        </w:rPr>
        <w:t>行</w:t>
      </w:r>
      <w:r>
        <w:rPr>
          <w:rFonts w:hint="eastAsia" w:ascii="Times New Roman" w:hAnsi="Times New Roman" w:eastAsia="仿宋_GB2312" w:cs="仿宋_GB2312"/>
          <w:sz w:val="32"/>
          <w:szCs w:val="32"/>
          <w:highlight w:val="none"/>
          <w:lang w:val="en-US" w:eastAsia="zh-CN"/>
        </w:rPr>
        <w:t>具体资本构成如下：</w:t>
      </w:r>
    </w:p>
    <w:p w14:paraId="2512DDA1">
      <w:pPr>
        <w:spacing w:line="560" w:lineRule="exact"/>
        <w:ind w:right="320"/>
        <w:jc w:val="right"/>
        <w:rPr>
          <w:rFonts w:hint="eastAsia" w:ascii="Times New Roman" w:hAnsi="Times New Roman" w:eastAsia="仿宋_GB2312" w:cs="仿宋_GB2312"/>
          <w:sz w:val="24"/>
          <w:szCs w:val="24"/>
        </w:rPr>
      </w:pPr>
      <w:r>
        <w:rPr>
          <w:rFonts w:hint="eastAsia" w:ascii="Times New Roman" w:hAnsi="Times New Roman" w:eastAsia="仿宋_GB2312" w:cs="仿宋_GB2312"/>
          <w:sz w:val="21"/>
          <w:szCs w:val="21"/>
          <w:highlight w:val="none"/>
          <w:lang w:val="en-US" w:eastAsia="zh-CN"/>
        </w:rPr>
        <w:t xml:space="preserve">                                                                                                                </w:t>
      </w:r>
      <w:r>
        <w:rPr>
          <w:rFonts w:hint="eastAsia" w:ascii="Times New Roman" w:hAnsi="Times New Roman" w:eastAsia="仿宋_GB2312" w:cs="仿宋_GB2312"/>
          <w:sz w:val="24"/>
          <w:szCs w:val="24"/>
        </w:rPr>
        <w:t>单位：</w:t>
      </w:r>
      <w:r>
        <w:rPr>
          <w:rFonts w:hint="eastAsia" w:ascii="Times New Roman" w:hAnsi="Times New Roman" w:eastAsia="仿宋_GB2312" w:cs="仿宋_GB2312"/>
          <w:sz w:val="24"/>
          <w:szCs w:val="24"/>
          <w:lang w:eastAsia="zh-CN"/>
        </w:rPr>
        <w:t>人民币</w:t>
      </w:r>
      <w:r>
        <w:rPr>
          <w:rFonts w:hint="eastAsia" w:ascii="Times New Roman" w:hAnsi="Times New Roman" w:eastAsia="仿宋_GB2312" w:cs="仿宋_GB2312"/>
          <w:sz w:val="24"/>
          <w:szCs w:val="24"/>
        </w:rPr>
        <w:t>万元、%</w:t>
      </w:r>
    </w:p>
    <w:tbl>
      <w:tblPr>
        <w:tblStyle w:val="6"/>
        <w:tblW w:w="9449"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0"/>
        <w:gridCol w:w="4795"/>
        <w:gridCol w:w="2108"/>
        <w:gridCol w:w="1946"/>
      </w:tblGrid>
      <w:tr w14:paraId="494C2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539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7F84CD">
            <w:pPr>
              <w:jc w:val="center"/>
              <w:rPr>
                <w:rFonts w:hint="eastAsia" w:ascii="Times New Roman" w:hAnsi="Times New Roman" w:eastAsia="仿宋_GB2312" w:cs="仿宋_GB2312"/>
                <w:i w:val="0"/>
                <w:iCs w:val="0"/>
                <w:color w:val="000000"/>
                <w:sz w:val="21"/>
                <w:szCs w:val="21"/>
                <w:u w:val="none"/>
                <w:lang w:eastAsia="zh-CN"/>
              </w:rPr>
            </w:pPr>
            <w:r>
              <w:rPr>
                <w:rFonts w:hint="eastAsia" w:ascii="Times New Roman" w:hAnsi="Times New Roman" w:eastAsia="仿宋_GB2312" w:cs="仿宋_GB2312"/>
                <w:i w:val="0"/>
                <w:iCs w:val="0"/>
                <w:color w:val="000000"/>
                <w:sz w:val="21"/>
                <w:szCs w:val="21"/>
                <w:u w:val="none"/>
                <w:lang w:eastAsia="zh-CN"/>
              </w:rPr>
              <w:t>项目</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2C3DB">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a</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14960">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b</w:t>
            </w:r>
          </w:p>
        </w:tc>
      </w:tr>
      <w:tr w14:paraId="64FD3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539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4B3BE">
            <w:pPr>
              <w:jc w:val="center"/>
              <w:rPr>
                <w:rFonts w:hint="eastAsia" w:ascii="Times New Roman" w:hAnsi="Times New Roman" w:eastAsia="仿宋_GB2312" w:cs="仿宋_GB2312"/>
                <w:i w:val="0"/>
                <w:iCs w:val="0"/>
                <w:color w:val="000000"/>
                <w:sz w:val="21"/>
                <w:szCs w:val="21"/>
                <w:u w:val="none"/>
              </w:rPr>
            </w:pP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6A9D0">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数额</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E7CE5">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代码</w:t>
            </w:r>
          </w:p>
        </w:tc>
      </w:tr>
      <w:tr w14:paraId="60977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94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906CA9">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核心一级资本</w:t>
            </w:r>
          </w:p>
        </w:tc>
      </w:tr>
      <w:tr w14:paraId="3F429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06C7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1</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C4A72">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实收资本和资本公积可计入部分</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F6D0F">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rPr>
            </w:pPr>
            <w:r>
              <w:rPr>
                <w:rFonts w:hint="eastAsia" w:ascii="Times New Roman" w:hAnsi="Times New Roman" w:eastAsia="仿宋_GB2312" w:cs="仿宋_GB2312"/>
                <w:i w:val="0"/>
                <w:iCs w:val="0"/>
                <w:color w:val="000000"/>
                <w:kern w:val="0"/>
                <w:sz w:val="21"/>
                <w:szCs w:val="21"/>
                <w:u w:val="none"/>
                <w:lang w:val="en-US" w:eastAsia="zh-CN" w:bidi="ar"/>
              </w:rPr>
              <w:t>273438.15</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F6480">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e+g</w:t>
            </w:r>
          </w:p>
        </w:tc>
      </w:tr>
      <w:tr w14:paraId="0D396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6CF0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2</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4089E">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留存收益</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A3207">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eastAsia="zh-CN"/>
              </w:rPr>
            </w:pPr>
            <w:r>
              <w:rPr>
                <w:rFonts w:hint="eastAsia" w:ascii="Times New Roman" w:hAnsi="Times New Roman" w:eastAsia="仿宋_GB2312" w:cs="仿宋_GB2312"/>
                <w:i w:val="0"/>
                <w:iCs w:val="0"/>
                <w:color w:val="000000"/>
                <w:sz w:val="21"/>
                <w:szCs w:val="21"/>
                <w:u w:val="none"/>
                <w:lang w:val="en-US" w:eastAsia="zh-CN"/>
              </w:rPr>
              <w:t>924495.89</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24D9C">
            <w:pPr>
              <w:jc w:val="left"/>
              <w:rPr>
                <w:rFonts w:hint="eastAsia" w:ascii="Times New Roman" w:hAnsi="Times New Roman" w:eastAsia="仿宋_GB2312" w:cs="仿宋_GB2312"/>
                <w:i w:val="0"/>
                <w:iCs w:val="0"/>
                <w:color w:val="000000"/>
                <w:sz w:val="21"/>
                <w:szCs w:val="21"/>
                <w:u w:val="none"/>
              </w:rPr>
            </w:pPr>
          </w:p>
        </w:tc>
      </w:tr>
      <w:tr w14:paraId="76748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0C38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2a</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C5FC6">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盈余公积</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DA887">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rPr>
            </w:pPr>
            <w:r>
              <w:rPr>
                <w:rFonts w:hint="eastAsia" w:ascii="Times New Roman" w:hAnsi="Times New Roman" w:eastAsia="仿宋_GB2312" w:cs="仿宋_GB2312"/>
                <w:i w:val="0"/>
                <w:iCs w:val="0"/>
                <w:color w:val="000000"/>
                <w:kern w:val="0"/>
                <w:sz w:val="21"/>
                <w:szCs w:val="21"/>
                <w:u w:val="none"/>
                <w:lang w:val="en-US" w:eastAsia="zh-CN" w:bidi="ar"/>
              </w:rPr>
              <w:t>133855.48</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CD599">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h</w:t>
            </w:r>
          </w:p>
        </w:tc>
      </w:tr>
      <w:tr w14:paraId="11BCB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837E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2b</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19CD7">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一般风险准备</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BF3DF">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rPr>
            </w:pPr>
            <w:r>
              <w:rPr>
                <w:rFonts w:hint="eastAsia" w:ascii="Times New Roman" w:hAnsi="Times New Roman" w:eastAsia="仿宋_GB2312" w:cs="仿宋_GB2312"/>
                <w:i w:val="0"/>
                <w:iCs w:val="0"/>
                <w:color w:val="000000"/>
                <w:kern w:val="0"/>
                <w:sz w:val="21"/>
                <w:szCs w:val="21"/>
                <w:u w:val="none"/>
                <w:lang w:val="en-US" w:eastAsia="zh-CN" w:bidi="ar"/>
              </w:rPr>
              <w:t>268305.25</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D7781">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i</w:t>
            </w:r>
          </w:p>
        </w:tc>
      </w:tr>
      <w:tr w14:paraId="1386A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D09A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2c</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4DB47">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未分配利润</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4233C">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rPr>
            </w:pPr>
            <w:r>
              <w:rPr>
                <w:rFonts w:hint="eastAsia" w:ascii="Times New Roman" w:hAnsi="Times New Roman" w:eastAsia="仿宋_GB2312" w:cs="仿宋_GB2312"/>
                <w:i w:val="0"/>
                <w:iCs w:val="0"/>
                <w:color w:val="000000"/>
                <w:kern w:val="0"/>
                <w:sz w:val="21"/>
                <w:szCs w:val="21"/>
                <w:u w:val="none"/>
                <w:lang w:val="en-US" w:eastAsia="zh-CN" w:bidi="ar"/>
              </w:rPr>
              <w:t>522335.16</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6AC26">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j</w:t>
            </w:r>
          </w:p>
        </w:tc>
      </w:tr>
      <w:tr w14:paraId="692EE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2DB2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3</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97613">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累计其他综合收益</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F4AF3">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rPr>
            </w:pPr>
            <w:r>
              <w:rPr>
                <w:rFonts w:hint="eastAsia" w:ascii="Times New Roman" w:hAnsi="Times New Roman" w:eastAsia="仿宋_GB2312" w:cs="仿宋_GB2312"/>
                <w:i w:val="0"/>
                <w:iCs w:val="0"/>
                <w:color w:val="000000"/>
                <w:kern w:val="0"/>
                <w:sz w:val="21"/>
                <w:szCs w:val="21"/>
                <w:u w:val="none"/>
                <w:lang w:val="en-US" w:eastAsia="zh-CN" w:bidi="ar"/>
              </w:rPr>
              <w:t>3811.12</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BE78F">
            <w:pPr>
              <w:jc w:val="left"/>
              <w:rPr>
                <w:rFonts w:hint="eastAsia" w:ascii="Times New Roman" w:hAnsi="Times New Roman" w:eastAsia="仿宋_GB2312" w:cs="仿宋_GB2312"/>
                <w:i w:val="0"/>
                <w:iCs w:val="0"/>
                <w:color w:val="000000"/>
                <w:sz w:val="21"/>
                <w:szCs w:val="21"/>
                <w:u w:val="none"/>
              </w:rPr>
            </w:pPr>
          </w:p>
        </w:tc>
      </w:tr>
      <w:tr w14:paraId="6BDCE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E0832">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4</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6BB9B">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少数股东资本可计入部分</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80E4E">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eastAsia="zh-CN"/>
              </w:rPr>
            </w:pPr>
            <w:r>
              <w:rPr>
                <w:rFonts w:hint="eastAsia" w:ascii="Times New Roman" w:hAnsi="Times New Roman" w:eastAsia="仿宋_GB2312" w:cs="仿宋_GB2312"/>
                <w:i w:val="0"/>
                <w:iCs w:val="0"/>
                <w:color w:val="000000"/>
                <w:sz w:val="21"/>
                <w:szCs w:val="21"/>
                <w:u w:val="none"/>
                <w:lang w:val="en-US" w:eastAsia="zh-CN"/>
              </w:rPr>
              <w:t>773.63</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5FC1D">
            <w:pPr>
              <w:jc w:val="left"/>
              <w:rPr>
                <w:rFonts w:hint="eastAsia" w:ascii="Times New Roman" w:hAnsi="Times New Roman" w:eastAsia="仿宋_GB2312" w:cs="仿宋_GB2312"/>
                <w:i w:val="0"/>
                <w:iCs w:val="0"/>
                <w:color w:val="000000"/>
                <w:sz w:val="21"/>
                <w:szCs w:val="21"/>
                <w:u w:val="none"/>
              </w:rPr>
            </w:pPr>
          </w:p>
        </w:tc>
      </w:tr>
      <w:tr w14:paraId="7D172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91C9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5</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A8FD6">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扣除前的核心一级资本</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2C86A">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rPr>
            </w:pPr>
            <w:r>
              <w:rPr>
                <w:rFonts w:hint="eastAsia" w:ascii="Times New Roman" w:hAnsi="Times New Roman" w:eastAsia="仿宋_GB2312" w:cs="仿宋_GB2312"/>
                <w:i w:val="0"/>
                <w:iCs w:val="0"/>
                <w:color w:val="000000"/>
                <w:kern w:val="0"/>
                <w:sz w:val="21"/>
                <w:szCs w:val="21"/>
                <w:u w:val="none"/>
                <w:lang w:val="en-US" w:eastAsia="zh-CN" w:bidi="ar"/>
              </w:rPr>
              <w:t>1202518.79</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7B897">
            <w:pPr>
              <w:jc w:val="left"/>
              <w:rPr>
                <w:rFonts w:hint="eastAsia" w:ascii="Times New Roman" w:hAnsi="Times New Roman" w:eastAsia="仿宋_GB2312" w:cs="仿宋_GB2312"/>
                <w:i w:val="0"/>
                <w:iCs w:val="0"/>
                <w:color w:val="000000"/>
                <w:sz w:val="21"/>
                <w:szCs w:val="21"/>
                <w:u w:val="none"/>
              </w:rPr>
            </w:pPr>
          </w:p>
        </w:tc>
      </w:tr>
      <w:tr w14:paraId="1C3F9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94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68806A">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核心一级资本：扣除项</w:t>
            </w:r>
          </w:p>
        </w:tc>
      </w:tr>
      <w:tr w14:paraId="61A38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F53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6</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32065">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审慎估值调整</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491AC">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FFB32">
            <w:pPr>
              <w:jc w:val="left"/>
              <w:rPr>
                <w:rFonts w:hint="eastAsia" w:ascii="Times New Roman" w:hAnsi="Times New Roman" w:eastAsia="仿宋_GB2312" w:cs="仿宋_GB2312"/>
                <w:i w:val="0"/>
                <w:iCs w:val="0"/>
                <w:color w:val="000000"/>
                <w:sz w:val="21"/>
                <w:szCs w:val="21"/>
                <w:u w:val="none"/>
              </w:rPr>
            </w:pPr>
          </w:p>
        </w:tc>
      </w:tr>
      <w:tr w14:paraId="271A6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046A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7</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81C85">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商誉（扣除递延税负债）</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0A843">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45B43">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a-c</w:t>
            </w:r>
          </w:p>
        </w:tc>
      </w:tr>
      <w:tr w14:paraId="43A13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7A92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8</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8252D">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其他无形资产（土地使用权除外）（扣除递延税负债）</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B2F8C">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rPr>
            </w:pPr>
            <w:r>
              <w:rPr>
                <w:rFonts w:hint="eastAsia" w:ascii="Times New Roman" w:hAnsi="Times New Roman" w:eastAsia="仿宋_GB2312" w:cs="仿宋_GB2312"/>
                <w:i w:val="0"/>
                <w:iCs w:val="0"/>
                <w:color w:val="000000"/>
                <w:kern w:val="0"/>
                <w:sz w:val="21"/>
                <w:szCs w:val="21"/>
                <w:u w:val="none"/>
                <w:lang w:val="en-US" w:eastAsia="zh-CN" w:bidi="ar"/>
              </w:rPr>
              <w:t>391.17</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C715D">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b-d</w:t>
            </w:r>
          </w:p>
        </w:tc>
      </w:tr>
      <w:tr w14:paraId="4FC13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2EBA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9</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05D7D">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依赖未来盈利的由经营亏损引起的净递延税资产</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042BF">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14BA1">
            <w:pPr>
              <w:jc w:val="left"/>
              <w:rPr>
                <w:rFonts w:hint="eastAsia" w:ascii="Times New Roman" w:hAnsi="Times New Roman" w:eastAsia="仿宋_GB2312" w:cs="仿宋_GB2312"/>
                <w:i w:val="0"/>
                <w:iCs w:val="0"/>
                <w:color w:val="000000"/>
                <w:sz w:val="21"/>
                <w:szCs w:val="21"/>
                <w:u w:val="none"/>
              </w:rPr>
            </w:pPr>
          </w:p>
        </w:tc>
      </w:tr>
      <w:tr w14:paraId="77942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C1B8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10</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D232F">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对未按公允价值计量的项目进行套期形成的现金流储备</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85847">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A4216">
            <w:pPr>
              <w:jc w:val="left"/>
              <w:rPr>
                <w:rFonts w:hint="eastAsia" w:ascii="Times New Roman" w:hAnsi="Times New Roman" w:eastAsia="仿宋_GB2312" w:cs="仿宋_GB2312"/>
                <w:i w:val="0"/>
                <w:iCs w:val="0"/>
                <w:color w:val="000000"/>
                <w:sz w:val="21"/>
                <w:szCs w:val="21"/>
                <w:u w:val="none"/>
              </w:rPr>
            </w:pPr>
          </w:p>
        </w:tc>
      </w:tr>
      <w:tr w14:paraId="6529B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736A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11</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13AAA">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损失准备缺口</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DEDA3">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D8627">
            <w:pPr>
              <w:jc w:val="left"/>
              <w:rPr>
                <w:rFonts w:hint="eastAsia" w:ascii="Times New Roman" w:hAnsi="Times New Roman" w:eastAsia="仿宋_GB2312" w:cs="仿宋_GB2312"/>
                <w:i w:val="0"/>
                <w:iCs w:val="0"/>
                <w:color w:val="000000"/>
                <w:sz w:val="21"/>
                <w:szCs w:val="21"/>
                <w:u w:val="none"/>
              </w:rPr>
            </w:pPr>
          </w:p>
        </w:tc>
      </w:tr>
      <w:tr w14:paraId="2C09C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B8B2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12</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22995">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资产证券化销售利得</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508C9">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A42B0">
            <w:pPr>
              <w:jc w:val="left"/>
              <w:rPr>
                <w:rFonts w:hint="eastAsia" w:ascii="Times New Roman" w:hAnsi="Times New Roman" w:eastAsia="仿宋_GB2312" w:cs="仿宋_GB2312"/>
                <w:i w:val="0"/>
                <w:iCs w:val="0"/>
                <w:color w:val="000000"/>
                <w:sz w:val="21"/>
                <w:szCs w:val="21"/>
                <w:u w:val="none"/>
              </w:rPr>
            </w:pPr>
          </w:p>
        </w:tc>
      </w:tr>
      <w:tr w14:paraId="03E28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6B83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13</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AA6BB">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自身信用风险变化导致其负债公允价值变化带来的未实现损益</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9BFE3">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BD2E6">
            <w:pPr>
              <w:jc w:val="left"/>
              <w:rPr>
                <w:rFonts w:hint="eastAsia" w:ascii="Times New Roman" w:hAnsi="Times New Roman" w:eastAsia="仿宋_GB2312" w:cs="仿宋_GB2312"/>
                <w:i w:val="0"/>
                <w:iCs w:val="0"/>
                <w:color w:val="000000"/>
                <w:sz w:val="21"/>
                <w:szCs w:val="21"/>
                <w:u w:val="none"/>
              </w:rPr>
            </w:pPr>
          </w:p>
        </w:tc>
      </w:tr>
      <w:tr w14:paraId="09E87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8B25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14</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19E59">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确定受益类的养老金资产净额（扣除递延税负债）</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EE0DC">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58FBA">
            <w:pPr>
              <w:jc w:val="left"/>
              <w:rPr>
                <w:rFonts w:hint="eastAsia" w:ascii="Times New Roman" w:hAnsi="Times New Roman" w:eastAsia="仿宋_GB2312" w:cs="仿宋_GB2312"/>
                <w:i w:val="0"/>
                <w:iCs w:val="0"/>
                <w:color w:val="000000"/>
                <w:sz w:val="21"/>
                <w:szCs w:val="21"/>
                <w:u w:val="none"/>
              </w:rPr>
            </w:pPr>
          </w:p>
        </w:tc>
      </w:tr>
      <w:tr w14:paraId="65A56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D21A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15</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D76DC">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直接或间接持有本银行的股票</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332CC">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83ABF">
            <w:pPr>
              <w:jc w:val="left"/>
              <w:rPr>
                <w:rFonts w:hint="eastAsia" w:ascii="Times New Roman" w:hAnsi="Times New Roman" w:eastAsia="仿宋_GB2312" w:cs="仿宋_GB2312"/>
                <w:i w:val="0"/>
                <w:iCs w:val="0"/>
                <w:color w:val="000000"/>
                <w:sz w:val="21"/>
                <w:szCs w:val="21"/>
                <w:u w:val="none"/>
              </w:rPr>
            </w:pPr>
          </w:p>
        </w:tc>
      </w:tr>
      <w:tr w14:paraId="6C5B7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668E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16</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B2820">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银行间或银行与其他金融机构间通过协议相互持有的核心一级资本</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E7C74">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308B2">
            <w:pPr>
              <w:jc w:val="left"/>
              <w:rPr>
                <w:rFonts w:hint="eastAsia" w:ascii="Times New Roman" w:hAnsi="Times New Roman" w:eastAsia="仿宋_GB2312" w:cs="仿宋_GB2312"/>
                <w:i w:val="0"/>
                <w:iCs w:val="0"/>
                <w:color w:val="000000"/>
                <w:sz w:val="21"/>
                <w:szCs w:val="21"/>
                <w:u w:val="none"/>
              </w:rPr>
            </w:pPr>
          </w:p>
        </w:tc>
      </w:tr>
      <w:tr w14:paraId="4F5E5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4"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0AFB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17</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18BBA">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对未并表金融机构小额少数资本投资中的核心一级资本中应扣除金额</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1C36C">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EDDCA">
            <w:pPr>
              <w:jc w:val="left"/>
              <w:rPr>
                <w:rFonts w:hint="eastAsia" w:ascii="Times New Roman" w:hAnsi="Times New Roman" w:eastAsia="仿宋_GB2312" w:cs="仿宋_GB2312"/>
                <w:i w:val="0"/>
                <w:iCs w:val="0"/>
                <w:color w:val="000000"/>
                <w:sz w:val="21"/>
                <w:szCs w:val="21"/>
                <w:u w:val="none"/>
              </w:rPr>
            </w:pPr>
          </w:p>
        </w:tc>
      </w:tr>
      <w:tr w14:paraId="15D49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CE65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18</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3A4BB">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对未并表金融机构大额少数资本投资中的核心一级资本中应扣除金额</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36BD8">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3AD8F">
            <w:pPr>
              <w:jc w:val="left"/>
              <w:rPr>
                <w:rFonts w:hint="eastAsia" w:ascii="Times New Roman" w:hAnsi="Times New Roman" w:eastAsia="仿宋_GB2312" w:cs="仿宋_GB2312"/>
                <w:i w:val="0"/>
                <w:iCs w:val="0"/>
                <w:color w:val="000000"/>
                <w:sz w:val="21"/>
                <w:szCs w:val="21"/>
                <w:u w:val="none"/>
              </w:rPr>
            </w:pPr>
          </w:p>
        </w:tc>
      </w:tr>
      <w:tr w14:paraId="691B6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4847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19</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03934">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其他依赖于银行未来盈利的净递延税资产中应扣除金额</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2BBC9">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9E21B">
            <w:pPr>
              <w:jc w:val="left"/>
              <w:rPr>
                <w:rFonts w:hint="eastAsia" w:ascii="Times New Roman" w:hAnsi="Times New Roman" w:eastAsia="仿宋_GB2312" w:cs="仿宋_GB2312"/>
                <w:i w:val="0"/>
                <w:iCs w:val="0"/>
                <w:color w:val="000000"/>
                <w:sz w:val="21"/>
                <w:szCs w:val="21"/>
                <w:u w:val="none"/>
              </w:rPr>
            </w:pPr>
          </w:p>
        </w:tc>
      </w:tr>
      <w:tr w14:paraId="24BE9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267"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8144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20</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F4690">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对未并表金融机构大额少数资本投资中的核心一级资本和其他依赖于银行未来盈利的净递延税资产的未扣除部分超过核心一级资本15%的应扣除金额</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C2369">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D9A51">
            <w:pPr>
              <w:jc w:val="left"/>
              <w:rPr>
                <w:rFonts w:hint="eastAsia" w:ascii="Times New Roman" w:hAnsi="Times New Roman" w:eastAsia="仿宋_GB2312" w:cs="仿宋_GB2312"/>
                <w:i w:val="0"/>
                <w:iCs w:val="0"/>
                <w:color w:val="000000"/>
                <w:sz w:val="21"/>
                <w:szCs w:val="21"/>
                <w:u w:val="none"/>
              </w:rPr>
            </w:pPr>
          </w:p>
        </w:tc>
      </w:tr>
      <w:tr w14:paraId="4A8CD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4876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21</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6C061">
            <w:pPr>
              <w:keepNext w:val="0"/>
              <w:keepLines w:val="0"/>
              <w:widowControl/>
              <w:suppressLineNumbers w:val="0"/>
              <w:ind w:firstLine="210" w:firstLineChars="10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 xml:space="preserve">  其中：应在对金融机构大额少数资本投资中扣除的金额</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476CD">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93DB9">
            <w:pPr>
              <w:jc w:val="left"/>
              <w:rPr>
                <w:rFonts w:hint="eastAsia" w:ascii="Times New Roman" w:hAnsi="Times New Roman" w:eastAsia="仿宋_GB2312" w:cs="仿宋_GB2312"/>
                <w:i w:val="0"/>
                <w:iCs w:val="0"/>
                <w:color w:val="000000"/>
                <w:sz w:val="21"/>
                <w:szCs w:val="21"/>
                <w:u w:val="none"/>
              </w:rPr>
            </w:pPr>
          </w:p>
        </w:tc>
      </w:tr>
      <w:tr w14:paraId="01C86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3161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22</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60A65">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 xml:space="preserve">    其中：应在其他依赖于银行未来盈利的净递延税资产中扣除的金额</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5A924">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B0D9B">
            <w:pPr>
              <w:jc w:val="left"/>
              <w:rPr>
                <w:rFonts w:hint="eastAsia" w:ascii="Times New Roman" w:hAnsi="Times New Roman" w:eastAsia="仿宋_GB2312" w:cs="仿宋_GB2312"/>
                <w:i w:val="0"/>
                <w:iCs w:val="0"/>
                <w:color w:val="000000"/>
                <w:sz w:val="21"/>
                <w:szCs w:val="21"/>
                <w:u w:val="none"/>
              </w:rPr>
            </w:pPr>
          </w:p>
        </w:tc>
      </w:tr>
      <w:tr w14:paraId="46395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1C1B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23</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D7589">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其他应在核心一级资本中扣除的项目合计</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B892E">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BA9BE">
            <w:pPr>
              <w:jc w:val="left"/>
              <w:rPr>
                <w:rFonts w:hint="eastAsia" w:ascii="Times New Roman" w:hAnsi="Times New Roman" w:eastAsia="仿宋_GB2312" w:cs="仿宋_GB2312"/>
                <w:i w:val="0"/>
                <w:iCs w:val="0"/>
                <w:color w:val="000000"/>
                <w:sz w:val="21"/>
                <w:szCs w:val="21"/>
                <w:u w:val="none"/>
              </w:rPr>
            </w:pPr>
          </w:p>
        </w:tc>
      </w:tr>
      <w:tr w14:paraId="6481E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EE04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24</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49607">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应从其他一级资本和二级资本中扣除的未扣缺口</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8CA46">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4D27E">
            <w:pPr>
              <w:jc w:val="left"/>
              <w:rPr>
                <w:rFonts w:hint="eastAsia" w:ascii="Times New Roman" w:hAnsi="Times New Roman" w:eastAsia="仿宋_GB2312" w:cs="仿宋_GB2312"/>
                <w:i w:val="0"/>
                <w:iCs w:val="0"/>
                <w:color w:val="000000"/>
                <w:sz w:val="21"/>
                <w:szCs w:val="21"/>
                <w:u w:val="none"/>
              </w:rPr>
            </w:pPr>
          </w:p>
        </w:tc>
      </w:tr>
      <w:tr w14:paraId="6535E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08FD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25</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DDA9">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核心一级资本扣除项总和</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F9C69">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rPr>
            </w:pPr>
            <w:r>
              <w:rPr>
                <w:rFonts w:hint="eastAsia" w:ascii="Times New Roman" w:hAnsi="Times New Roman" w:eastAsia="仿宋_GB2312" w:cs="仿宋_GB2312"/>
                <w:i w:val="0"/>
                <w:iCs w:val="0"/>
                <w:color w:val="000000"/>
                <w:kern w:val="0"/>
                <w:sz w:val="21"/>
                <w:szCs w:val="21"/>
                <w:u w:val="none"/>
                <w:lang w:val="en-US" w:eastAsia="zh-CN" w:bidi="ar"/>
              </w:rPr>
              <w:t>391.17</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5C81B">
            <w:pPr>
              <w:jc w:val="left"/>
              <w:rPr>
                <w:rFonts w:hint="eastAsia" w:ascii="Times New Roman" w:hAnsi="Times New Roman" w:eastAsia="仿宋_GB2312" w:cs="仿宋_GB2312"/>
                <w:i w:val="0"/>
                <w:iCs w:val="0"/>
                <w:color w:val="000000"/>
                <w:sz w:val="21"/>
                <w:szCs w:val="21"/>
                <w:u w:val="none"/>
                <w:lang w:val="en-US"/>
              </w:rPr>
            </w:pPr>
          </w:p>
        </w:tc>
      </w:tr>
      <w:tr w14:paraId="30704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146F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26</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012BB">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核心一级资本净额</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3E34C">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rPr>
            </w:pPr>
            <w:r>
              <w:rPr>
                <w:rFonts w:hint="eastAsia" w:ascii="Times New Roman" w:hAnsi="Times New Roman" w:eastAsia="仿宋_GB2312" w:cs="仿宋_GB2312"/>
                <w:i w:val="0"/>
                <w:iCs w:val="0"/>
                <w:color w:val="000000"/>
                <w:kern w:val="0"/>
                <w:sz w:val="21"/>
                <w:szCs w:val="21"/>
                <w:u w:val="none"/>
                <w:lang w:val="en-US" w:eastAsia="zh-CN" w:bidi="ar"/>
              </w:rPr>
              <w:t>1202127.62</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26FA7">
            <w:pPr>
              <w:jc w:val="left"/>
              <w:rPr>
                <w:rFonts w:hint="eastAsia" w:ascii="Times New Roman" w:hAnsi="Times New Roman" w:eastAsia="仿宋_GB2312" w:cs="仿宋_GB2312"/>
                <w:i w:val="0"/>
                <w:iCs w:val="0"/>
                <w:color w:val="000000"/>
                <w:sz w:val="21"/>
                <w:szCs w:val="21"/>
                <w:u w:val="none"/>
              </w:rPr>
            </w:pPr>
          </w:p>
        </w:tc>
      </w:tr>
      <w:tr w14:paraId="17613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94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9C21E3">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其他一级资本</w:t>
            </w:r>
          </w:p>
        </w:tc>
      </w:tr>
      <w:tr w14:paraId="5A1A6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1A3F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27</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62CFE">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其他一级资本工具及其溢价</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C2D6F">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04FBE">
            <w:pPr>
              <w:jc w:val="left"/>
              <w:rPr>
                <w:rFonts w:hint="eastAsia" w:ascii="Times New Roman" w:hAnsi="Times New Roman" w:eastAsia="仿宋_GB2312" w:cs="仿宋_GB2312"/>
                <w:i w:val="0"/>
                <w:iCs w:val="0"/>
                <w:color w:val="000000"/>
                <w:sz w:val="21"/>
                <w:szCs w:val="21"/>
                <w:u w:val="none"/>
              </w:rPr>
            </w:pPr>
          </w:p>
        </w:tc>
      </w:tr>
      <w:tr w14:paraId="1277E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80BB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28</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FFF22">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 xml:space="preserve">    其中：权益部分</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935D0">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CF653">
            <w:pPr>
              <w:jc w:val="left"/>
              <w:rPr>
                <w:rFonts w:hint="eastAsia" w:ascii="Times New Roman" w:hAnsi="Times New Roman" w:eastAsia="仿宋_GB2312" w:cs="仿宋_GB2312"/>
                <w:i w:val="0"/>
                <w:iCs w:val="0"/>
                <w:color w:val="000000"/>
                <w:sz w:val="21"/>
                <w:szCs w:val="21"/>
                <w:u w:val="none"/>
              </w:rPr>
            </w:pPr>
          </w:p>
        </w:tc>
      </w:tr>
      <w:tr w14:paraId="1F3CF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430E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29</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086E1">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 xml:space="preserve">    其中：负债部分</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B79D2">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DE116">
            <w:pPr>
              <w:jc w:val="left"/>
              <w:rPr>
                <w:rFonts w:hint="eastAsia" w:ascii="Times New Roman" w:hAnsi="Times New Roman" w:eastAsia="仿宋_GB2312" w:cs="仿宋_GB2312"/>
                <w:i w:val="0"/>
                <w:iCs w:val="0"/>
                <w:color w:val="000000"/>
                <w:sz w:val="21"/>
                <w:szCs w:val="21"/>
                <w:u w:val="none"/>
              </w:rPr>
            </w:pPr>
          </w:p>
        </w:tc>
      </w:tr>
      <w:tr w14:paraId="25C7E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370D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30</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EDBA3">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少数股东资本可计入部分</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B67A5">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eastAsia="zh-CN"/>
              </w:rPr>
            </w:pPr>
            <w:r>
              <w:rPr>
                <w:rFonts w:hint="eastAsia" w:ascii="Times New Roman" w:hAnsi="Times New Roman" w:eastAsia="仿宋_GB2312" w:cs="仿宋_GB2312"/>
                <w:i w:val="0"/>
                <w:iCs w:val="0"/>
                <w:color w:val="000000"/>
                <w:sz w:val="21"/>
                <w:szCs w:val="21"/>
                <w:u w:val="none"/>
                <w:lang w:val="en-US" w:eastAsia="zh-CN"/>
              </w:rPr>
              <w:t>103.15</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80C95">
            <w:pPr>
              <w:jc w:val="left"/>
              <w:rPr>
                <w:rFonts w:hint="eastAsia" w:ascii="Times New Roman" w:hAnsi="Times New Roman" w:eastAsia="仿宋_GB2312" w:cs="仿宋_GB2312"/>
                <w:i w:val="0"/>
                <w:iCs w:val="0"/>
                <w:color w:val="000000"/>
                <w:sz w:val="21"/>
                <w:szCs w:val="21"/>
                <w:u w:val="none"/>
              </w:rPr>
            </w:pPr>
          </w:p>
        </w:tc>
      </w:tr>
      <w:tr w14:paraId="719E1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C685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31</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289F9">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扣除前的其他一级资本</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EBEA9">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rPr>
            </w:pPr>
            <w:r>
              <w:rPr>
                <w:rFonts w:hint="eastAsia" w:ascii="Times New Roman" w:hAnsi="Times New Roman" w:eastAsia="仿宋_GB2312" w:cs="仿宋_GB2312"/>
                <w:i w:val="0"/>
                <w:iCs w:val="0"/>
                <w:color w:val="000000"/>
                <w:kern w:val="0"/>
                <w:sz w:val="21"/>
                <w:szCs w:val="21"/>
                <w:u w:val="none"/>
                <w:lang w:val="en-US" w:eastAsia="zh-CN" w:bidi="ar"/>
              </w:rPr>
              <w:t>103.15</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E7D09">
            <w:pPr>
              <w:jc w:val="left"/>
              <w:rPr>
                <w:rFonts w:hint="eastAsia" w:ascii="Times New Roman" w:hAnsi="Times New Roman" w:eastAsia="仿宋_GB2312" w:cs="仿宋_GB2312"/>
                <w:i w:val="0"/>
                <w:iCs w:val="0"/>
                <w:color w:val="000000"/>
                <w:sz w:val="21"/>
                <w:szCs w:val="21"/>
                <w:u w:val="none"/>
              </w:rPr>
            </w:pPr>
          </w:p>
        </w:tc>
      </w:tr>
      <w:tr w14:paraId="417DB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94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4EAB71">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其他一级资本:扣除项</w:t>
            </w:r>
          </w:p>
        </w:tc>
      </w:tr>
      <w:tr w14:paraId="667BE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BA38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32</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24B76">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直接或间接持有的本银行其他一级资本</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C05FD">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72DE9">
            <w:pPr>
              <w:jc w:val="left"/>
              <w:rPr>
                <w:rFonts w:hint="eastAsia" w:ascii="Times New Roman" w:hAnsi="Times New Roman" w:eastAsia="仿宋_GB2312" w:cs="仿宋_GB2312"/>
                <w:i w:val="0"/>
                <w:iCs w:val="0"/>
                <w:color w:val="000000"/>
                <w:sz w:val="21"/>
                <w:szCs w:val="21"/>
                <w:u w:val="none"/>
              </w:rPr>
            </w:pPr>
          </w:p>
        </w:tc>
      </w:tr>
      <w:tr w14:paraId="31E0A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7DFF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33</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A82D6">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银行间或银行与其他金融机构间通过协议相互持有的其他一级资本</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79862">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36F50">
            <w:pPr>
              <w:jc w:val="left"/>
              <w:rPr>
                <w:rFonts w:hint="eastAsia" w:ascii="Times New Roman" w:hAnsi="Times New Roman" w:eastAsia="仿宋_GB2312" w:cs="仿宋_GB2312"/>
                <w:i w:val="0"/>
                <w:iCs w:val="0"/>
                <w:color w:val="000000"/>
                <w:sz w:val="21"/>
                <w:szCs w:val="21"/>
                <w:u w:val="none"/>
              </w:rPr>
            </w:pPr>
          </w:p>
        </w:tc>
      </w:tr>
      <w:tr w14:paraId="5D9E0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00E3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34</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5F0C3">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对未并表金融机构小额少数资本投资中的其他一级资本中应扣除金额</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B1C8A">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FEC29">
            <w:pPr>
              <w:jc w:val="left"/>
              <w:rPr>
                <w:rFonts w:hint="eastAsia" w:ascii="Times New Roman" w:hAnsi="Times New Roman" w:eastAsia="仿宋_GB2312" w:cs="仿宋_GB2312"/>
                <w:i w:val="0"/>
                <w:iCs w:val="0"/>
                <w:color w:val="000000"/>
                <w:sz w:val="21"/>
                <w:szCs w:val="21"/>
                <w:u w:val="none"/>
              </w:rPr>
            </w:pPr>
          </w:p>
        </w:tc>
      </w:tr>
      <w:tr w14:paraId="3E4CA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8"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6E55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35</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8B494">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对未并表金融机构大额少数资本投资中的其他一级资本中应扣除金额</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61121">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BD566">
            <w:pPr>
              <w:jc w:val="left"/>
              <w:rPr>
                <w:rFonts w:hint="eastAsia" w:ascii="Times New Roman" w:hAnsi="Times New Roman" w:eastAsia="仿宋_GB2312" w:cs="仿宋_GB2312"/>
                <w:i w:val="0"/>
                <w:iCs w:val="0"/>
                <w:color w:val="000000"/>
                <w:sz w:val="21"/>
                <w:szCs w:val="21"/>
                <w:u w:val="none"/>
              </w:rPr>
            </w:pPr>
          </w:p>
        </w:tc>
      </w:tr>
      <w:tr w14:paraId="69AD1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58E8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36</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E6347">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其他应在其他一级资本中扣除的项目合计</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567B0">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E224C">
            <w:pPr>
              <w:jc w:val="left"/>
              <w:rPr>
                <w:rFonts w:hint="eastAsia" w:ascii="Times New Roman" w:hAnsi="Times New Roman" w:eastAsia="仿宋_GB2312" w:cs="仿宋_GB2312"/>
                <w:i w:val="0"/>
                <w:iCs w:val="0"/>
                <w:color w:val="000000"/>
                <w:sz w:val="21"/>
                <w:szCs w:val="21"/>
                <w:u w:val="none"/>
              </w:rPr>
            </w:pPr>
          </w:p>
        </w:tc>
      </w:tr>
      <w:tr w14:paraId="62BFC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2806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37</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FC4B8">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应从二级资本中扣除的未扣缺口</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E62DC">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CDFAE">
            <w:pPr>
              <w:jc w:val="left"/>
              <w:rPr>
                <w:rFonts w:hint="eastAsia" w:ascii="Times New Roman" w:hAnsi="Times New Roman" w:eastAsia="仿宋_GB2312" w:cs="仿宋_GB2312"/>
                <w:i w:val="0"/>
                <w:iCs w:val="0"/>
                <w:color w:val="000000"/>
                <w:sz w:val="21"/>
                <w:szCs w:val="21"/>
                <w:u w:val="none"/>
              </w:rPr>
            </w:pPr>
          </w:p>
        </w:tc>
      </w:tr>
      <w:tr w14:paraId="33C3E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9C16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38</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3A3B5">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其他一级资本扣除项总和</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BDEDB">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5E4B9">
            <w:pPr>
              <w:jc w:val="left"/>
              <w:rPr>
                <w:rFonts w:hint="eastAsia" w:ascii="Times New Roman" w:hAnsi="Times New Roman" w:eastAsia="仿宋_GB2312" w:cs="仿宋_GB2312"/>
                <w:i w:val="0"/>
                <w:iCs w:val="0"/>
                <w:color w:val="000000"/>
                <w:sz w:val="21"/>
                <w:szCs w:val="21"/>
                <w:u w:val="none"/>
              </w:rPr>
            </w:pPr>
          </w:p>
        </w:tc>
      </w:tr>
      <w:tr w14:paraId="36B65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36B24">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39</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C4E22">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其他一级资本净额</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DC9D8">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rPr>
            </w:pPr>
            <w:r>
              <w:rPr>
                <w:rFonts w:hint="eastAsia" w:ascii="Times New Roman" w:hAnsi="Times New Roman" w:eastAsia="仿宋_GB2312" w:cs="仿宋_GB2312"/>
                <w:i w:val="0"/>
                <w:iCs w:val="0"/>
                <w:color w:val="000000"/>
                <w:kern w:val="0"/>
                <w:sz w:val="21"/>
                <w:szCs w:val="21"/>
                <w:u w:val="none"/>
                <w:lang w:val="en-US" w:eastAsia="zh-CN" w:bidi="ar"/>
              </w:rPr>
              <w:t>103.15</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CD558">
            <w:pPr>
              <w:jc w:val="left"/>
              <w:rPr>
                <w:rFonts w:hint="eastAsia" w:ascii="Times New Roman" w:hAnsi="Times New Roman" w:eastAsia="仿宋_GB2312" w:cs="仿宋_GB2312"/>
                <w:i w:val="0"/>
                <w:iCs w:val="0"/>
                <w:color w:val="000000"/>
                <w:sz w:val="21"/>
                <w:szCs w:val="21"/>
                <w:u w:val="none"/>
              </w:rPr>
            </w:pPr>
          </w:p>
        </w:tc>
      </w:tr>
      <w:tr w14:paraId="1D2F1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1BB8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40</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AB218">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一级资本净额</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36605">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rPr>
            </w:pPr>
            <w:r>
              <w:rPr>
                <w:rFonts w:hint="eastAsia" w:ascii="Times New Roman" w:hAnsi="Times New Roman" w:eastAsia="仿宋_GB2312" w:cs="仿宋_GB2312"/>
                <w:i w:val="0"/>
                <w:iCs w:val="0"/>
                <w:color w:val="000000"/>
                <w:kern w:val="0"/>
                <w:sz w:val="21"/>
                <w:szCs w:val="21"/>
                <w:u w:val="none"/>
                <w:lang w:val="en-US" w:eastAsia="zh-CN" w:bidi="ar"/>
              </w:rPr>
              <w:t>1202230.77</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F8A2B">
            <w:pPr>
              <w:jc w:val="left"/>
              <w:rPr>
                <w:rFonts w:hint="eastAsia" w:ascii="Times New Roman" w:hAnsi="Times New Roman" w:eastAsia="仿宋_GB2312" w:cs="仿宋_GB2312"/>
                <w:i w:val="0"/>
                <w:iCs w:val="0"/>
                <w:color w:val="000000"/>
                <w:sz w:val="21"/>
                <w:szCs w:val="21"/>
                <w:u w:val="none"/>
              </w:rPr>
            </w:pPr>
          </w:p>
        </w:tc>
      </w:tr>
      <w:tr w14:paraId="6B7EF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94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92C1F7">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二级资本</w:t>
            </w:r>
          </w:p>
        </w:tc>
      </w:tr>
      <w:tr w14:paraId="0768A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3EC2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41</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F88F8">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二级资本工具及其溢价</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94F10">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3CE9E">
            <w:pPr>
              <w:jc w:val="left"/>
              <w:rPr>
                <w:rFonts w:hint="eastAsia" w:ascii="Times New Roman" w:hAnsi="Times New Roman" w:eastAsia="仿宋_GB2312" w:cs="仿宋_GB2312"/>
                <w:i w:val="0"/>
                <w:iCs w:val="0"/>
                <w:color w:val="000000"/>
                <w:sz w:val="21"/>
                <w:szCs w:val="21"/>
                <w:u w:val="none"/>
              </w:rPr>
            </w:pPr>
          </w:p>
        </w:tc>
      </w:tr>
      <w:tr w14:paraId="79A66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EEA40">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42</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051F8">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少数股东资本可计入部分</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27A0E">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rPr>
            </w:pPr>
            <w:r>
              <w:rPr>
                <w:rFonts w:hint="eastAsia" w:ascii="Times New Roman" w:hAnsi="Times New Roman" w:eastAsia="仿宋_GB2312" w:cs="仿宋_GB2312"/>
                <w:i w:val="0"/>
                <w:iCs w:val="0"/>
                <w:color w:val="000000"/>
                <w:kern w:val="0"/>
                <w:sz w:val="21"/>
                <w:szCs w:val="21"/>
                <w:u w:val="none"/>
                <w:lang w:val="en-US" w:eastAsia="zh-CN" w:bidi="ar"/>
              </w:rPr>
              <w:t>206.30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F4032">
            <w:pPr>
              <w:jc w:val="left"/>
              <w:rPr>
                <w:rFonts w:hint="eastAsia" w:ascii="Times New Roman" w:hAnsi="Times New Roman" w:eastAsia="仿宋_GB2312" w:cs="仿宋_GB2312"/>
                <w:i w:val="0"/>
                <w:iCs w:val="0"/>
                <w:color w:val="000000"/>
                <w:sz w:val="21"/>
                <w:szCs w:val="21"/>
                <w:u w:val="none"/>
              </w:rPr>
            </w:pPr>
          </w:p>
        </w:tc>
      </w:tr>
      <w:tr w14:paraId="11AD3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A58F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43</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F98A0">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超额损失准备可计入部分</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5A609">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rPr>
            </w:pPr>
            <w:r>
              <w:rPr>
                <w:rFonts w:hint="eastAsia" w:ascii="Times New Roman" w:hAnsi="Times New Roman" w:eastAsia="仿宋_GB2312" w:cs="仿宋_GB2312"/>
                <w:i w:val="0"/>
                <w:iCs w:val="0"/>
                <w:color w:val="000000"/>
                <w:kern w:val="0"/>
                <w:sz w:val="21"/>
                <w:szCs w:val="21"/>
                <w:u w:val="none"/>
                <w:lang w:val="en-US" w:eastAsia="zh-CN" w:bidi="ar"/>
              </w:rPr>
              <w:t>123793.09</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0941A">
            <w:pPr>
              <w:jc w:val="left"/>
              <w:rPr>
                <w:rFonts w:hint="eastAsia" w:ascii="Times New Roman" w:hAnsi="Times New Roman" w:eastAsia="仿宋_GB2312" w:cs="仿宋_GB2312"/>
                <w:i w:val="0"/>
                <w:iCs w:val="0"/>
                <w:color w:val="000000"/>
                <w:sz w:val="21"/>
                <w:szCs w:val="21"/>
                <w:u w:val="none"/>
              </w:rPr>
            </w:pPr>
          </w:p>
        </w:tc>
      </w:tr>
      <w:tr w14:paraId="60585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5420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44</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E1E1E">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扣除前的二级资本</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04899">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rPr>
            </w:pPr>
            <w:r>
              <w:rPr>
                <w:rFonts w:hint="eastAsia" w:ascii="Times New Roman" w:hAnsi="Times New Roman" w:eastAsia="仿宋_GB2312" w:cs="仿宋_GB2312"/>
                <w:i w:val="0"/>
                <w:iCs w:val="0"/>
                <w:color w:val="000000"/>
                <w:kern w:val="0"/>
                <w:sz w:val="21"/>
                <w:szCs w:val="21"/>
                <w:u w:val="none"/>
                <w:lang w:val="en-US" w:eastAsia="zh-CN" w:bidi="ar"/>
              </w:rPr>
              <w:t>123999.39</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5DD78">
            <w:pPr>
              <w:jc w:val="left"/>
              <w:rPr>
                <w:rFonts w:hint="eastAsia" w:ascii="Times New Roman" w:hAnsi="Times New Roman" w:eastAsia="仿宋_GB2312" w:cs="仿宋_GB2312"/>
                <w:i w:val="0"/>
                <w:iCs w:val="0"/>
                <w:color w:val="000000"/>
                <w:sz w:val="21"/>
                <w:szCs w:val="21"/>
                <w:u w:val="none"/>
              </w:rPr>
            </w:pPr>
          </w:p>
        </w:tc>
      </w:tr>
      <w:tr w14:paraId="6EBFB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94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B66E59">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二级资本：扣除项</w:t>
            </w:r>
          </w:p>
        </w:tc>
      </w:tr>
      <w:tr w14:paraId="6A51E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614D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45</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10B9E">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直接或间接持有的本银行的二级资本</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A4825">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2F185">
            <w:pPr>
              <w:jc w:val="left"/>
              <w:rPr>
                <w:rFonts w:hint="eastAsia" w:ascii="Times New Roman" w:hAnsi="Times New Roman" w:eastAsia="仿宋_GB2312" w:cs="仿宋_GB2312"/>
                <w:i w:val="0"/>
                <w:iCs w:val="0"/>
                <w:color w:val="000000"/>
                <w:sz w:val="21"/>
                <w:szCs w:val="21"/>
                <w:u w:val="none"/>
              </w:rPr>
            </w:pPr>
          </w:p>
        </w:tc>
      </w:tr>
      <w:tr w14:paraId="52C0D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2"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F033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46</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495BA">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银行间或银行与其他金融机构间通过协议相互持有的其他一级资本</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1D014">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A2041">
            <w:pPr>
              <w:jc w:val="left"/>
              <w:rPr>
                <w:rFonts w:hint="eastAsia" w:ascii="Times New Roman" w:hAnsi="Times New Roman" w:eastAsia="仿宋_GB2312" w:cs="仿宋_GB2312"/>
                <w:i w:val="0"/>
                <w:iCs w:val="0"/>
                <w:color w:val="000000"/>
                <w:sz w:val="21"/>
                <w:szCs w:val="21"/>
                <w:u w:val="none"/>
              </w:rPr>
            </w:pPr>
          </w:p>
        </w:tc>
      </w:tr>
      <w:tr w14:paraId="3929D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F259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47</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0D397">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对未并表金融机构小额少数资本投资中的二级资本中应扣除金额</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A711D">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497BA">
            <w:pPr>
              <w:jc w:val="left"/>
              <w:rPr>
                <w:rFonts w:hint="eastAsia" w:ascii="Times New Roman" w:hAnsi="Times New Roman" w:eastAsia="仿宋_GB2312" w:cs="仿宋_GB2312"/>
                <w:i w:val="0"/>
                <w:iCs w:val="0"/>
                <w:color w:val="000000"/>
                <w:sz w:val="21"/>
                <w:szCs w:val="21"/>
                <w:u w:val="none"/>
              </w:rPr>
            </w:pPr>
          </w:p>
        </w:tc>
      </w:tr>
      <w:tr w14:paraId="6CB7D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7"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CFE0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48</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C2A52">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对未并表金融机构大额少数资本投资中的二级资本</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E8380">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BE406">
            <w:pPr>
              <w:jc w:val="left"/>
              <w:rPr>
                <w:rFonts w:hint="eastAsia" w:ascii="Times New Roman" w:hAnsi="Times New Roman" w:eastAsia="仿宋_GB2312" w:cs="仿宋_GB2312"/>
                <w:i w:val="0"/>
                <w:iCs w:val="0"/>
                <w:color w:val="000000"/>
                <w:sz w:val="21"/>
                <w:szCs w:val="21"/>
                <w:u w:val="none"/>
              </w:rPr>
            </w:pPr>
          </w:p>
        </w:tc>
      </w:tr>
      <w:tr w14:paraId="55A36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5308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49</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3A073">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其他应在二级资本中扣除的项目合计</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8DD5A">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09C3C">
            <w:pPr>
              <w:jc w:val="left"/>
              <w:rPr>
                <w:rFonts w:hint="eastAsia" w:ascii="Times New Roman" w:hAnsi="Times New Roman" w:eastAsia="仿宋_GB2312" w:cs="仿宋_GB2312"/>
                <w:i w:val="0"/>
                <w:iCs w:val="0"/>
                <w:color w:val="000000"/>
                <w:sz w:val="21"/>
                <w:szCs w:val="21"/>
                <w:u w:val="none"/>
              </w:rPr>
            </w:pPr>
          </w:p>
        </w:tc>
      </w:tr>
      <w:tr w14:paraId="48FD0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574B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50</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B34EA">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二级资本扣除项总和</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3F43E">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1EB74">
            <w:pPr>
              <w:jc w:val="left"/>
              <w:rPr>
                <w:rFonts w:hint="eastAsia" w:ascii="Times New Roman" w:hAnsi="Times New Roman" w:eastAsia="仿宋_GB2312" w:cs="仿宋_GB2312"/>
                <w:i w:val="0"/>
                <w:iCs w:val="0"/>
                <w:color w:val="000000"/>
                <w:sz w:val="21"/>
                <w:szCs w:val="21"/>
                <w:u w:val="none"/>
              </w:rPr>
            </w:pPr>
          </w:p>
        </w:tc>
      </w:tr>
      <w:tr w14:paraId="2BC0E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282DB">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51</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F9F31">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二级资本净额</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48B6B">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rPr>
            </w:pPr>
            <w:r>
              <w:rPr>
                <w:rFonts w:hint="eastAsia" w:ascii="Times New Roman" w:hAnsi="Times New Roman" w:eastAsia="仿宋_GB2312" w:cs="仿宋_GB2312"/>
                <w:i w:val="0"/>
                <w:iCs w:val="0"/>
                <w:color w:val="000000"/>
                <w:kern w:val="0"/>
                <w:sz w:val="21"/>
                <w:szCs w:val="21"/>
                <w:u w:val="none"/>
                <w:lang w:val="en-US" w:eastAsia="zh-CN" w:bidi="ar"/>
              </w:rPr>
              <w:t>123999.39</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38E01">
            <w:pPr>
              <w:jc w:val="left"/>
              <w:rPr>
                <w:rFonts w:hint="eastAsia" w:ascii="Times New Roman" w:hAnsi="Times New Roman" w:eastAsia="仿宋_GB2312" w:cs="仿宋_GB2312"/>
                <w:i w:val="0"/>
                <w:iCs w:val="0"/>
                <w:color w:val="000000"/>
                <w:sz w:val="21"/>
                <w:szCs w:val="21"/>
                <w:u w:val="none"/>
              </w:rPr>
            </w:pPr>
          </w:p>
        </w:tc>
      </w:tr>
      <w:tr w14:paraId="433F9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DF4F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52</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1A4D4">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总资本净额</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1F6A5">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rPr>
            </w:pPr>
            <w:r>
              <w:rPr>
                <w:rFonts w:hint="eastAsia" w:ascii="Times New Roman" w:hAnsi="Times New Roman" w:eastAsia="仿宋_GB2312" w:cs="仿宋_GB2312"/>
                <w:i w:val="0"/>
                <w:iCs w:val="0"/>
                <w:color w:val="000000"/>
                <w:kern w:val="0"/>
                <w:sz w:val="21"/>
                <w:szCs w:val="21"/>
                <w:u w:val="none"/>
                <w:lang w:val="en-US" w:eastAsia="zh-CN" w:bidi="ar"/>
              </w:rPr>
              <w:t>1326230.16</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6DA52">
            <w:pPr>
              <w:jc w:val="left"/>
              <w:rPr>
                <w:rFonts w:hint="eastAsia" w:ascii="Times New Roman" w:hAnsi="Times New Roman" w:eastAsia="仿宋_GB2312" w:cs="仿宋_GB2312"/>
                <w:i w:val="0"/>
                <w:iCs w:val="0"/>
                <w:color w:val="000000"/>
                <w:sz w:val="21"/>
                <w:szCs w:val="21"/>
                <w:u w:val="none"/>
              </w:rPr>
            </w:pPr>
          </w:p>
        </w:tc>
      </w:tr>
      <w:tr w14:paraId="10C59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A36BD">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53</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41002">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风险加权资产</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F960E">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rPr>
            </w:pPr>
            <w:r>
              <w:rPr>
                <w:rFonts w:hint="eastAsia" w:ascii="Times New Roman" w:hAnsi="Times New Roman" w:eastAsia="仿宋_GB2312" w:cs="仿宋_GB2312"/>
                <w:i w:val="0"/>
                <w:iCs w:val="0"/>
                <w:color w:val="000000"/>
                <w:kern w:val="0"/>
                <w:sz w:val="21"/>
                <w:szCs w:val="21"/>
                <w:u w:val="none"/>
                <w:lang w:val="en-US" w:eastAsia="zh-CN" w:bidi="ar"/>
              </w:rPr>
              <w:t>10701912.46</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F61B">
            <w:pPr>
              <w:jc w:val="left"/>
              <w:rPr>
                <w:rFonts w:hint="eastAsia" w:ascii="Times New Roman" w:hAnsi="Times New Roman" w:eastAsia="仿宋_GB2312" w:cs="仿宋_GB2312"/>
                <w:i w:val="0"/>
                <w:iCs w:val="0"/>
                <w:color w:val="000000"/>
                <w:sz w:val="21"/>
                <w:szCs w:val="21"/>
                <w:u w:val="none"/>
              </w:rPr>
            </w:pPr>
          </w:p>
        </w:tc>
      </w:tr>
      <w:tr w14:paraId="78A94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94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4FD573">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资本充足率和其他各级资本要求</w:t>
            </w:r>
          </w:p>
        </w:tc>
      </w:tr>
      <w:tr w14:paraId="2EBFA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CA43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54</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4DCDB">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核心一级资本充足率（%）</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9A9AF">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rPr>
            </w:pPr>
            <w:r>
              <w:rPr>
                <w:rFonts w:hint="eastAsia" w:ascii="Times New Roman" w:hAnsi="Times New Roman" w:eastAsia="仿宋_GB2312" w:cs="仿宋_GB2312"/>
                <w:i w:val="0"/>
                <w:iCs w:val="0"/>
                <w:color w:val="000000"/>
                <w:kern w:val="0"/>
                <w:sz w:val="21"/>
                <w:szCs w:val="21"/>
                <w:u w:val="none"/>
                <w:lang w:val="en-US" w:eastAsia="zh-CN" w:bidi="ar"/>
              </w:rPr>
              <w:t>11.23</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47F92">
            <w:pPr>
              <w:jc w:val="left"/>
              <w:rPr>
                <w:rFonts w:hint="eastAsia" w:ascii="Times New Roman" w:hAnsi="Times New Roman" w:eastAsia="仿宋_GB2312" w:cs="仿宋_GB2312"/>
                <w:i w:val="0"/>
                <w:iCs w:val="0"/>
                <w:color w:val="000000"/>
                <w:sz w:val="21"/>
                <w:szCs w:val="21"/>
                <w:u w:val="none"/>
              </w:rPr>
            </w:pPr>
          </w:p>
        </w:tc>
      </w:tr>
      <w:tr w14:paraId="43562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CF6E6">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55</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540C1">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一级资本充足率（%）</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F9AB0">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rPr>
            </w:pPr>
            <w:r>
              <w:rPr>
                <w:rFonts w:hint="eastAsia" w:ascii="Times New Roman" w:hAnsi="Times New Roman" w:eastAsia="仿宋_GB2312" w:cs="仿宋_GB2312"/>
                <w:i w:val="0"/>
                <w:iCs w:val="0"/>
                <w:color w:val="000000"/>
                <w:kern w:val="0"/>
                <w:sz w:val="21"/>
                <w:szCs w:val="21"/>
                <w:u w:val="none"/>
                <w:lang w:val="en-US" w:eastAsia="zh-CN" w:bidi="ar"/>
              </w:rPr>
              <w:t>11.23</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675A1">
            <w:pPr>
              <w:jc w:val="left"/>
              <w:rPr>
                <w:rFonts w:hint="eastAsia" w:ascii="Times New Roman" w:hAnsi="Times New Roman" w:eastAsia="仿宋_GB2312" w:cs="仿宋_GB2312"/>
                <w:i w:val="0"/>
                <w:iCs w:val="0"/>
                <w:color w:val="000000"/>
                <w:sz w:val="21"/>
                <w:szCs w:val="21"/>
                <w:u w:val="none"/>
              </w:rPr>
            </w:pPr>
          </w:p>
        </w:tc>
      </w:tr>
      <w:tr w14:paraId="42B4A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55E8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56</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D92DA">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资本充足率（%）</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80E8B">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eastAsia="zh-CN"/>
              </w:rPr>
            </w:pPr>
            <w:r>
              <w:rPr>
                <w:rFonts w:hint="eastAsia" w:ascii="Times New Roman" w:hAnsi="Times New Roman" w:eastAsia="仿宋_GB2312" w:cs="仿宋_GB2312"/>
                <w:i w:val="0"/>
                <w:iCs w:val="0"/>
                <w:color w:val="000000"/>
                <w:sz w:val="21"/>
                <w:szCs w:val="21"/>
                <w:u w:val="none"/>
                <w:lang w:val="en-US" w:eastAsia="zh-CN"/>
              </w:rPr>
              <w:t>12.39</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5E539">
            <w:pPr>
              <w:jc w:val="left"/>
              <w:rPr>
                <w:rFonts w:hint="eastAsia" w:ascii="Times New Roman" w:hAnsi="Times New Roman" w:eastAsia="仿宋_GB2312" w:cs="仿宋_GB2312"/>
                <w:i w:val="0"/>
                <w:iCs w:val="0"/>
                <w:color w:val="000000"/>
                <w:sz w:val="21"/>
                <w:szCs w:val="21"/>
                <w:u w:val="none"/>
              </w:rPr>
            </w:pPr>
          </w:p>
        </w:tc>
      </w:tr>
      <w:tr w14:paraId="12767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C7F88">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57</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F2DF9">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其他各级资本要求（%）</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2C1E1">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 xml:space="preserve"> 2.50 </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B230F">
            <w:pPr>
              <w:jc w:val="left"/>
              <w:rPr>
                <w:rFonts w:hint="eastAsia" w:ascii="Times New Roman" w:hAnsi="Times New Roman" w:eastAsia="仿宋_GB2312" w:cs="仿宋_GB2312"/>
                <w:i w:val="0"/>
                <w:iCs w:val="0"/>
                <w:color w:val="000000"/>
                <w:sz w:val="21"/>
                <w:szCs w:val="21"/>
                <w:u w:val="none"/>
              </w:rPr>
            </w:pPr>
          </w:p>
        </w:tc>
      </w:tr>
      <w:tr w14:paraId="5C762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B6D41">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58</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A8155">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 xml:space="preserve">    其中：储备资本要求</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956C7">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 xml:space="preserve"> 2.50 </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DC108">
            <w:pPr>
              <w:jc w:val="left"/>
              <w:rPr>
                <w:rFonts w:hint="eastAsia" w:ascii="Times New Roman" w:hAnsi="Times New Roman" w:eastAsia="仿宋_GB2312" w:cs="仿宋_GB2312"/>
                <w:i w:val="0"/>
                <w:iCs w:val="0"/>
                <w:color w:val="000000"/>
                <w:sz w:val="21"/>
                <w:szCs w:val="21"/>
                <w:u w:val="none"/>
              </w:rPr>
            </w:pPr>
          </w:p>
        </w:tc>
      </w:tr>
      <w:tr w14:paraId="59CFB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F8D89">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59</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2CE25">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 xml:space="preserve">    其中：逆周期资本要求</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19A8D">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7EA9D">
            <w:pPr>
              <w:jc w:val="left"/>
              <w:rPr>
                <w:rFonts w:hint="eastAsia" w:ascii="Times New Roman" w:hAnsi="Times New Roman" w:eastAsia="仿宋_GB2312" w:cs="仿宋_GB2312"/>
                <w:i w:val="0"/>
                <w:iCs w:val="0"/>
                <w:color w:val="000000"/>
                <w:sz w:val="21"/>
                <w:szCs w:val="21"/>
                <w:u w:val="none"/>
              </w:rPr>
            </w:pPr>
          </w:p>
        </w:tc>
      </w:tr>
      <w:tr w14:paraId="6D46B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9BC1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60</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4B7DB">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 xml:space="preserve">    其中：全球系统重要性银行或国内系统重要性银行附加资本要求</w:t>
            </w:r>
          </w:p>
        </w:tc>
        <w:tc>
          <w:tcPr>
            <w:tcW w:w="2108" w:type="dxa"/>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4302D9F7">
            <w:pPr>
              <w:jc w:val="left"/>
              <w:rPr>
                <w:rFonts w:hint="eastAsia" w:ascii="Times New Roman" w:hAnsi="Times New Roman" w:eastAsia="仿宋_GB2312" w:cs="仿宋_GB2312"/>
                <w:color w:val="auto"/>
                <w:sz w:val="21"/>
                <w:szCs w:val="21"/>
                <w:highlight w:val="lightGray"/>
              </w:rPr>
            </w:pPr>
          </w:p>
        </w:tc>
        <w:tc>
          <w:tcPr>
            <w:tcW w:w="1946" w:type="dxa"/>
            <w:tcBorders>
              <w:top w:val="single" w:color="000000" w:sz="4" w:space="0"/>
              <w:left w:val="single" w:color="000000" w:sz="4" w:space="0"/>
              <w:bottom w:val="single" w:color="000000" w:sz="4" w:space="0"/>
              <w:right w:val="single" w:color="000000" w:sz="4" w:space="0"/>
            </w:tcBorders>
            <w:shd w:val="clear" w:color="auto" w:fill="EEECE1" w:themeFill="background2"/>
            <w:vAlign w:val="center"/>
          </w:tcPr>
          <w:p w14:paraId="6BCA3CC4">
            <w:pPr>
              <w:jc w:val="left"/>
              <w:rPr>
                <w:rFonts w:hint="eastAsia" w:ascii="Times New Roman" w:hAnsi="Times New Roman" w:eastAsia="仿宋_GB2312" w:cs="仿宋_GB2312"/>
                <w:color w:val="auto"/>
                <w:sz w:val="21"/>
                <w:szCs w:val="21"/>
                <w:highlight w:val="lightGray"/>
              </w:rPr>
            </w:pPr>
          </w:p>
        </w:tc>
      </w:tr>
      <w:tr w14:paraId="6479E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9051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61</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CE0B2">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满足最低资本要求后的可用核心一级资本净额占风险加权资产的比例（%）</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0AF99">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rPr>
            </w:pPr>
            <w:r>
              <w:rPr>
                <w:rFonts w:hint="eastAsia" w:ascii="Times New Roman" w:hAnsi="Times New Roman" w:eastAsia="仿宋_GB2312" w:cs="仿宋_GB2312"/>
                <w:i w:val="0"/>
                <w:iCs w:val="0"/>
                <w:color w:val="000000"/>
                <w:kern w:val="0"/>
                <w:sz w:val="21"/>
                <w:szCs w:val="21"/>
                <w:u w:val="none"/>
                <w:lang w:val="en-US" w:eastAsia="zh-CN" w:bidi="ar"/>
              </w:rPr>
              <w:t>4.39</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016E3">
            <w:pPr>
              <w:jc w:val="left"/>
              <w:rPr>
                <w:rFonts w:hint="eastAsia" w:ascii="Times New Roman" w:hAnsi="Times New Roman" w:eastAsia="仿宋_GB2312" w:cs="仿宋_GB2312"/>
                <w:i w:val="0"/>
                <w:iCs w:val="0"/>
                <w:color w:val="000000"/>
                <w:sz w:val="21"/>
                <w:szCs w:val="21"/>
                <w:u w:val="none"/>
              </w:rPr>
            </w:pPr>
          </w:p>
        </w:tc>
      </w:tr>
      <w:tr w14:paraId="72AC8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94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E5D4BF">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我国最低监管资本要求</w:t>
            </w:r>
          </w:p>
        </w:tc>
      </w:tr>
      <w:tr w14:paraId="4C3FB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6E775">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62</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78DD3">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000000"/>
                <w:sz w:val="21"/>
                <w:szCs w:val="21"/>
                <w:u w:val="none"/>
              </w:rPr>
            </w:pPr>
            <w:r>
              <w:rPr>
                <w:rFonts w:hint="eastAsia" w:ascii="Times New Roman" w:hAnsi="Times New Roman" w:eastAsia="仿宋_GB2312" w:cs="仿宋_GB2312"/>
                <w:b w:val="0"/>
                <w:bCs w:val="0"/>
                <w:i w:val="0"/>
                <w:iCs w:val="0"/>
                <w:color w:val="000000"/>
                <w:kern w:val="0"/>
                <w:sz w:val="21"/>
                <w:szCs w:val="21"/>
                <w:u w:val="none"/>
                <w:lang w:val="en-US" w:eastAsia="zh-CN" w:bidi="ar"/>
              </w:rPr>
              <w:t>核心一级资本充足率（%）</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BE796">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 xml:space="preserve">5.00 </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84ADE">
            <w:pPr>
              <w:jc w:val="left"/>
              <w:rPr>
                <w:rFonts w:hint="eastAsia" w:ascii="Times New Roman" w:hAnsi="Times New Roman" w:eastAsia="仿宋_GB2312" w:cs="仿宋_GB2312"/>
                <w:i w:val="0"/>
                <w:iCs w:val="0"/>
                <w:color w:val="000000"/>
                <w:sz w:val="21"/>
                <w:szCs w:val="21"/>
                <w:u w:val="none"/>
              </w:rPr>
            </w:pPr>
          </w:p>
        </w:tc>
      </w:tr>
      <w:tr w14:paraId="45A60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440A3">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63</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A897E">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000000"/>
                <w:sz w:val="21"/>
                <w:szCs w:val="21"/>
                <w:u w:val="none"/>
              </w:rPr>
            </w:pPr>
            <w:r>
              <w:rPr>
                <w:rFonts w:hint="eastAsia" w:ascii="Times New Roman" w:hAnsi="Times New Roman" w:eastAsia="仿宋_GB2312" w:cs="仿宋_GB2312"/>
                <w:b w:val="0"/>
                <w:bCs w:val="0"/>
                <w:i w:val="0"/>
                <w:iCs w:val="0"/>
                <w:color w:val="000000"/>
                <w:kern w:val="0"/>
                <w:sz w:val="21"/>
                <w:szCs w:val="21"/>
                <w:u w:val="none"/>
                <w:lang w:val="en-US" w:eastAsia="zh-CN" w:bidi="ar"/>
              </w:rPr>
              <w:t>一级资本充足率（%）</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C00C0">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 xml:space="preserve">6.00 </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A61B3">
            <w:pPr>
              <w:jc w:val="left"/>
              <w:rPr>
                <w:rFonts w:hint="eastAsia" w:ascii="Times New Roman" w:hAnsi="Times New Roman" w:eastAsia="仿宋_GB2312" w:cs="仿宋_GB2312"/>
                <w:i w:val="0"/>
                <w:iCs w:val="0"/>
                <w:color w:val="000000"/>
                <w:sz w:val="21"/>
                <w:szCs w:val="21"/>
                <w:u w:val="none"/>
              </w:rPr>
            </w:pPr>
          </w:p>
        </w:tc>
      </w:tr>
      <w:tr w14:paraId="75231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8E827">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64</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C7C91">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000000"/>
                <w:sz w:val="21"/>
                <w:szCs w:val="21"/>
                <w:u w:val="none"/>
              </w:rPr>
            </w:pPr>
            <w:r>
              <w:rPr>
                <w:rFonts w:hint="eastAsia" w:ascii="Times New Roman" w:hAnsi="Times New Roman" w:eastAsia="仿宋_GB2312" w:cs="仿宋_GB2312"/>
                <w:b w:val="0"/>
                <w:bCs w:val="0"/>
                <w:i w:val="0"/>
                <w:iCs w:val="0"/>
                <w:color w:val="000000"/>
                <w:kern w:val="0"/>
                <w:sz w:val="21"/>
                <w:szCs w:val="21"/>
                <w:u w:val="none"/>
                <w:lang w:val="en-US" w:eastAsia="zh-CN" w:bidi="ar"/>
              </w:rPr>
              <w:t>资本充足率（%）</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CA96B">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 xml:space="preserve">8.00 </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D9608">
            <w:pPr>
              <w:jc w:val="left"/>
              <w:rPr>
                <w:rFonts w:hint="eastAsia" w:ascii="Times New Roman" w:hAnsi="Times New Roman" w:eastAsia="仿宋_GB2312" w:cs="仿宋_GB2312"/>
                <w:i w:val="0"/>
                <w:iCs w:val="0"/>
                <w:color w:val="000000"/>
                <w:sz w:val="21"/>
                <w:szCs w:val="21"/>
                <w:u w:val="none"/>
              </w:rPr>
            </w:pPr>
          </w:p>
        </w:tc>
      </w:tr>
      <w:tr w14:paraId="6767B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94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6A46A7">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门槛扣除项中未扣除部分</w:t>
            </w:r>
          </w:p>
        </w:tc>
      </w:tr>
      <w:tr w14:paraId="4C2D2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86A4F">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65</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AD349">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对未并表金融机构的小额少数资本投资中未扣除部分</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F4996">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eastAsia="zh-CN"/>
              </w:rPr>
            </w:pPr>
            <w:r>
              <w:rPr>
                <w:rFonts w:hint="eastAsia" w:ascii="Times New Roman" w:hAnsi="Times New Roman" w:eastAsia="仿宋_GB2312" w:cs="仿宋_GB2312"/>
                <w:i w:val="0"/>
                <w:iCs w:val="0"/>
                <w:color w:val="000000"/>
                <w:sz w:val="21"/>
                <w:szCs w:val="21"/>
                <w:u w:val="none"/>
                <w:lang w:val="en-US" w:eastAsia="zh-CN"/>
              </w:rPr>
              <w:t>52593.36</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2D045">
            <w:pPr>
              <w:jc w:val="left"/>
              <w:rPr>
                <w:rFonts w:hint="eastAsia" w:ascii="Times New Roman" w:hAnsi="Times New Roman" w:eastAsia="仿宋_GB2312" w:cs="仿宋_GB2312"/>
                <w:i w:val="0"/>
                <w:iCs w:val="0"/>
                <w:color w:val="000000"/>
                <w:sz w:val="21"/>
                <w:szCs w:val="21"/>
                <w:u w:val="none"/>
              </w:rPr>
            </w:pPr>
          </w:p>
        </w:tc>
      </w:tr>
      <w:tr w14:paraId="61E65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3E2DA">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66</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995CD">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对未并表金融机构的大额少数资本投资中未扣除部分</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85BC0">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6F30D">
            <w:pPr>
              <w:jc w:val="left"/>
              <w:rPr>
                <w:rFonts w:hint="eastAsia" w:ascii="Times New Roman" w:hAnsi="Times New Roman" w:eastAsia="仿宋_GB2312" w:cs="仿宋_GB2312"/>
                <w:i w:val="0"/>
                <w:iCs w:val="0"/>
                <w:color w:val="000000"/>
                <w:sz w:val="21"/>
                <w:szCs w:val="21"/>
                <w:u w:val="none"/>
              </w:rPr>
            </w:pPr>
          </w:p>
        </w:tc>
      </w:tr>
      <w:tr w14:paraId="4F7F2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39"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C635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67</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54104">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其他依赖于银行未来盈利的净递延税资产（扣除递延税负债）</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0B82D">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rPr>
            </w:pPr>
            <w:r>
              <w:rPr>
                <w:rFonts w:hint="eastAsia" w:ascii="Times New Roman" w:hAnsi="Times New Roman" w:eastAsia="仿宋_GB2312" w:cs="仿宋_GB2312"/>
                <w:i w:val="0"/>
                <w:iCs w:val="0"/>
                <w:color w:val="000000"/>
                <w:kern w:val="0"/>
                <w:sz w:val="21"/>
                <w:szCs w:val="21"/>
                <w:u w:val="none"/>
                <w:lang w:val="en-US" w:eastAsia="zh-CN" w:bidi="ar"/>
              </w:rPr>
              <w:t>83734.43</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2949C">
            <w:pPr>
              <w:jc w:val="left"/>
              <w:rPr>
                <w:rFonts w:hint="eastAsia" w:ascii="Times New Roman" w:hAnsi="Times New Roman" w:eastAsia="仿宋_GB2312" w:cs="仿宋_GB2312"/>
                <w:i w:val="0"/>
                <w:iCs w:val="0"/>
                <w:color w:val="000000"/>
                <w:sz w:val="21"/>
                <w:szCs w:val="21"/>
                <w:u w:val="none"/>
              </w:rPr>
            </w:pPr>
          </w:p>
        </w:tc>
      </w:tr>
      <w:tr w14:paraId="11DC1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944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3BA967">
            <w:pPr>
              <w:keepNext w:val="0"/>
              <w:keepLines w:val="0"/>
              <w:widowControl/>
              <w:suppressLineNumbers w:val="0"/>
              <w:jc w:val="left"/>
              <w:textAlignment w:val="center"/>
              <w:rPr>
                <w:rFonts w:hint="eastAsia" w:ascii="Times New Roman" w:hAnsi="Times New Roman" w:eastAsia="仿宋_GB2312" w:cs="仿宋_GB2312"/>
                <w:b/>
                <w:bCs/>
                <w:i w:val="0"/>
                <w:iCs w:val="0"/>
                <w:color w:val="000000"/>
                <w:sz w:val="21"/>
                <w:szCs w:val="21"/>
                <w:u w:val="none"/>
              </w:rPr>
            </w:pPr>
            <w:r>
              <w:rPr>
                <w:rFonts w:hint="eastAsia" w:ascii="Times New Roman" w:hAnsi="Times New Roman" w:eastAsia="仿宋_GB2312" w:cs="仿宋_GB2312"/>
                <w:b/>
                <w:bCs/>
                <w:i w:val="0"/>
                <w:iCs w:val="0"/>
                <w:color w:val="000000"/>
                <w:kern w:val="0"/>
                <w:sz w:val="21"/>
                <w:szCs w:val="21"/>
                <w:u w:val="none"/>
                <w:lang w:val="en-US" w:eastAsia="zh-CN" w:bidi="ar"/>
              </w:rPr>
              <w:t>可计入二级资本的超额损失准备的限额</w:t>
            </w:r>
          </w:p>
        </w:tc>
      </w:tr>
      <w:tr w14:paraId="63EDF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2FFFC">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68</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3B178">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权重法下，实际计提的超额损失准备金额</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06A42">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rPr>
            </w:pPr>
            <w:r>
              <w:rPr>
                <w:rFonts w:hint="eastAsia" w:ascii="Times New Roman" w:hAnsi="Times New Roman" w:eastAsia="仿宋_GB2312" w:cs="仿宋_GB2312"/>
                <w:i w:val="0"/>
                <w:iCs w:val="0"/>
                <w:color w:val="000000"/>
                <w:kern w:val="0"/>
                <w:sz w:val="21"/>
                <w:szCs w:val="21"/>
                <w:u w:val="none"/>
                <w:lang w:val="en-US" w:eastAsia="zh-CN" w:bidi="ar"/>
              </w:rPr>
              <w:t>437394.48</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22998">
            <w:pPr>
              <w:jc w:val="left"/>
              <w:rPr>
                <w:rFonts w:hint="eastAsia" w:ascii="Times New Roman" w:hAnsi="Times New Roman" w:eastAsia="仿宋_GB2312" w:cs="仿宋_GB2312"/>
                <w:i w:val="0"/>
                <w:iCs w:val="0"/>
                <w:color w:val="000000"/>
                <w:sz w:val="21"/>
                <w:szCs w:val="21"/>
                <w:u w:val="none"/>
              </w:rPr>
            </w:pPr>
          </w:p>
        </w:tc>
      </w:tr>
      <w:tr w14:paraId="286B4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exac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A994E">
            <w:pPr>
              <w:keepNext w:val="0"/>
              <w:keepLines w:val="0"/>
              <w:widowControl/>
              <w:suppressLineNumbers w:val="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69</w:t>
            </w:r>
          </w:p>
        </w:tc>
        <w:tc>
          <w:tcPr>
            <w:tcW w:w="4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A761B">
            <w:pPr>
              <w:keepNext w:val="0"/>
              <w:keepLines w:val="0"/>
              <w:widowControl/>
              <w:suppressLineNumbers w:val="0"/>
              <w:jc w:val="left"/>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权重法下，可计入二级资本超额损失准备的数额</w:t>
            </w:r>
          </w:p>
        </w:tc>
        <w:tc>
          <w:tcPr>
            <w:tcW w:w="2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0FBCF">
            <w:pPr>
              <w:keepNext w:val="0"/>
              <w:keepLines w:val="0"/>
              <w:widowControl/>
              <w:suppressLineNumbers w:val="0"/>
              <w:jc w:val="left"/>
              <w:textAlignment w:val="center"/>
              <w:rPr>
                <w:rFonts w:hint="default" w:ascii="Times New Roman" w:hAnsi="Times New Roman" w:eastAsia="仿宋_GB2312" w:cs="仿宋_GB2312"/>
                <w:i w:val="0"/>
                <w:iCs w:val="0"/>
                <w:color w:val="000000"/>
                <w:sz w:val="21"/>
                <w:szCs w:val="21"/>
                <w:u w:val="none"/>
                <w:lang w:val="en-US"/>
              </w:rPr>
            </w:pPr>
            <w:r>
              <w:rPr>
                <w:rFonts w:hint="eastAsia" w:ascii="Times New Roman" w:hAnsi="Times New Roman" w:eastAsia="仿宋_GB2312" w:cs="仿宋_GB2312"/>
                <w:i w:val="0"/>
                <w:iCs w:val="0"/>
                <w:color w:val="000000"/>
                <w:kern w:val="0"/>
                <w:sz w:val="21"/>
                <w:szCs w:val="21"/>
                <w:u w:val="none"/>
                <w:lang w:val="en-US" w:eastAsia="zh-CN" w:bidi="ar"/>
              </w:rPr>
              <w:t>123793.09</w:t>
            </w:r>
          </w:p>
        </w:tc>
        <w:tc>
          <w:tcPr>
            <w:tcW w:w="1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C5086">
            <w:pPr>
              <w:jc w:val="left"/>
              <w:rPr>
                <w:rFonts w:hint="eastAsia" w:ascii="Times New Roman" w:hAnsi="Times New Roman" w:eastAsia="仿宋_GB2312" w:cs="仿宋_GB2312"/>
                <w:i w:val="0"/>
                <w:iCs w:val="0"/>
                <w:color w:val="000000"/>
                <w:sz w:val="21"/>
                <w:szCs w:val="21"/>
                <w:u w:val="none"/>
              </w:rPr>
            </w:pPr>
          </w:p>
        </w:tc>
      </w:tr>
    </w:tbl>
    <w:p w14:paraId="1D2CB13A">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黑体" w:hAnsi="黑体" w:eastAsia="黑体" w:cs="黑体"/>
          <w:spacing w:val="8"/>
          <w:sz w:val="32"/>
          <w:szCs w:val="32"/>
          <w:highlight w:val="none"/>
          <w:lang w:eastAsia="zh-CN"/>
        </w:rPr>
      </w:pPr>
    </w:p>
    <w:p w14:paraId="02192C30">
      <w:pPr>
        <w:keepNext w:val="0"/>
        <w:keepLines w:val="0"/>
        <w:pageBreakBefore w:val="0"/>
        <w:widowControl/>
        <w:kinsoku w:val="0"/>
        <w:wordWrap/>
        <w:overflowPunct/>
        <w:topLinePunct w:val="0"/>
        <w:autoSpaceDE w:val="0"/>
        <w:autoSpaceDN w:val="0"/>
        <w:bidi w:val="0"/>
        <w:adjustRightInd w:val="0"/>
        <w:snapToGrid w:val="0"/>
        <w:spacing w:line="560" w:lineRule="exact"/>
        <w:ind w:firstLine="2688" w:firstLineChars="800"/>
        <w:textAlignment w:val="baseline"/>
        <w:rPr>
          <w:rFonts w:hint="eastAsia" w:ascii="黑体" w:hAnsi="黑体" w:eastAsia="黑体" w:cs="黑体"/>
          <w:sz w:val="32"/>
          <w:szCs w:val="32"/>
          <w:highlight w:val="none"/>
          <w:lang w:eastAsia="zh-CN"/>
        </w:rPr>
      </w:pPr>
      <w:r>
        <w:rPr>
          <w:rFonts w:hint="eastAsia" w:ascii="黑体" w:hAnsi="黑体" w:eastAsia="黑体" w:cs="黑体"/>
          <w:spacing w:val="8"/>
          <w:sz w:val="32"/>
          <w:szCs w:val="32"/>
          <w:highlight w:val="none"/>
          <w:lang w:eastAsia="zh-CN"/>
        </w:rPr>
        <w:t>第三节</w:t>
      </w:r>
      <w:r>
        <w:rPr>
          <w:rFonts w:hint="eastAsia" w:ascii="黑体" w:hAnsi="黑体" w:eastAsia="黑体" w:cs="黑体"/>
          <w:spacing w:val="8"/>
          <w:sz w:val="32"/>
          <w:szCs w:val="32"/>
          <w:highlight w:val="none"/>
          <w:lang w:val="en-US" w:eastAsia="zh-CN"/>
        </w:rPr>
        <w:t xml:space="preserve">  </w:t>
      </w:r>
      <w:r>
        <w:rPr>
          <w:rFonts w:ascii="黑体" w:hAnsi="黑体" w:eastAsia="黑体" w:cs="黑体"/>
          <w:spacing w:val="8"/>
          <w:sz w:val="32"/>
          <w:szCs w:val="32"/>
          <w:highlight w:val="none"/>
        </w:rPr>
        <w:t>股权管理情况</w:t>
      </w:r>
    </w:p>
    <w:p w14:paraId="6666CAF3">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60" w:firstLineChars="200"/>
        <w:textAlignment w:val="baseline"/>
        <w:rPr>
          <w:rFonts w:hint="eastAsia" w:ascii="楷体_GB2312" w:hAnsi="楷体_GB2312" w:eastAsia="楷体_GB2312" w:cs="楷体_GB2312"/>
          <w:b w:val="0"/>
          <w:bCs w:val="0"/>
          <w:spacing w:val="5"/>
          <w:sz w:val="32"/>
          <w:szCs w:val="32"/>
        </w:rPr>
      </w:pPr>
      <w:r>
        <w:rPr>
          <w:rFonts w:hint="eastAsia" w:ascii="楷体_GB2312" w:hAnsi="楷体_GB2312" w:eastAsia="楷体_GB2312" w:cs="楷体_GB2312"/>
          <w:b w:val="0"/>
          <w:bCs w:val="0"/>
          <w:spacing w:val="5"/>
          <w:sz w:val="32"/>
          <w:szCs w:val="32"/>
        </w:rPr>
        <w:t>（一）股份变动情况</w:t>
      </w:r>
    </w:p>
    <w:tbl>
      <w:tblPr>
        <w:tblStyle w:val="6"/>
        <w:tblW w:w="953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76"/>
        <w:gridCol w:w="870"/>
        <w:gridCol w:w="1140"/>
        <w:gridCol w:w="1080"/>
        <w:gridCol w:w="810"/>
        <w:gridCol w:w="1170"/>
        <w:gridCol w:w="1050"/>
        <w:gridCol w:w="780"/>
        <w:gridCol w:w="1263"/>
      </w:tblGrid>
      <w:tr w14:paraId="3AB53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1376" w:type="dxa"/>
            <w:vMerge w:val="restart"/>
            <w:tcBorders>
              <w:top w:val="single" w:color="000000" w:sz="8" w:space="0"/>
              <w:left w:val="single" w:color="000000" w:sz="8" w:space="0"/>
              <w:bottom w:val="single" w:color="000000" w:sz="4" w:space="0"/>
              <w:right w:val="single" w:color="000000" w:sz="4" w:space="0"/>
            </w:tcBorders>
            <w:shd w:val="clear" w:color="auto" w:fill="0070C0"/>
            <w:vAlign w:val="center"/>
          </w:tcPr>
          <w:p w14:paraId="65A8C2B6">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股东类别</w:t>
            </w:r>
          </w:p>
        </w:tc>
        <w:tc>
          <w:tcPr>
            <w:tcW w:w="3090" w:type="dxa"/>
            <w:gridSpan w:val="3"/>
            <w:tcBorders>
              <w:top w:val="single" w:color="000000" w:sz="8" w:space="0"/>
              <w:left w:val="single" w:color="000000" w:sz="4" w:space="0"/>
              <w:bottom w:val="single" w:color="000000" w:sz="4" w:space="0"/>
              <w:right w:val="single" w:color="000000" w:sz="4" w:space="0"/>
            </w:tcBorders>
            <w:shd w:val="clear" w:color="auto" w:fill="0070C0"/>
            <w:vAlign w:val="center"/>
          </w:tcPr>
          <w:p w14:paraId="36896BCB">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202</w:t>
            </w:r>
            <w:r>
              <w:rPr>
                <w:rFonts w:hint="eastAsia" w:ascii="Times New Roman" w:hAnsi="Times New Roman" w:eastAsia="宋体" w:cs="Times New Roman"/>
                <w:b/>
                <w:bCs/>
                <w:snapToGrid w:val="0"/>
                <w:color w:val="FFFFFF"/>
                <w:spacing w:val="7"/>
                <w:kern w:val="0"/>
                <w:sz w:val="20"/>
                <w:szCs w:val="20"/>
                <w:lang w:val="en-US" w:eastAsia="zh-CN" w:bidi="ar-SA"/>
              </w:rPr>
              <w:t>6</w:t>
            </w:r>
            <w:r>
              <w:rPr>
                <w:rFonts w:hint="default" w:ascii="Times New Roman" w:hAnsi="Times New Roman" w:eastAsia="宋体" w:cs="Times New Roman"/>
                <w:b/>
                <w:bCs/>
                <w:snapToGrid w:val="0"/>
                <w:color w:val="FFFFFF"/>
                <w:spacing w:val="7"/>
                <w:kern w:val="0"/>
                <w:sz w:val="20"/>
                <w:szCs w:val="20"/>
                <w:lang w:val="en-US" w:eastAsia="zh-CN" w:bidi="ar-SA"/>
              </w:rPr>
              <w:t>年</w:t>
            </w:r>
            <w:r>
              <w:rPr>
                <w:rFonts w:hint="eastAsia" w:ascii="Times New Roman" w:hAnsi="Times New Roman" w:eastAsia="宋体" w:cs="Times New Roman"/>
                <w:b/>
                <w:bCs/>
                <w:snapToGrid w:val="0"/>
                <w:color w:val="FFFFFF"/>
                <w:spacing w:val="7"/>
                <w:kern w:val="0"/>
                <w:sz w:val="20"/>
                <w:szCs w:val="20"/>
                <w:lang w:val="en-US" w:eastAsia="zh-CN" w:bidi="ar-SA"/>
              </w:rPr>
              <w:t>6</w:t>
            </w:r>
            <w:r>
              <w:rPr>
                <w:rFonts w:hint="default" w:ascii="Times New Roman" w:hAnsi="Times New Roman" w:eastAsia="宋体" w:cs="Times New Roman"/>
                <w:b/>
                <w:bCs/>
                <w:snapToGrid w:val="0"/>
                <w:color w:val="FFFFFF"/>
                <w:spacing w:val="7"/>
                <w:kern w:val="0"/>
                <w:sz w:val="20"/>
                <w:szCs w:val="20"/>
                <w:lang w:val="en-US" w:eastAsia="zh-CN" w:bidi="ar-SA"/>
              </w:rPr>
              <w:t>月末</w:t>
            </w:r>
          </w:p>
        </w:tc>
        <w:tc>
          <w:tcPr>
            <w:tcW w:w="3030" w:type="dxa"/>
            <w:gridSpan w:val="3"/>
            <w:tcBorders>
              <w:top w:val="single" w:color="000000" w:sz="8" w:space="0"/>
              <w:left w:val="single" w:color="000000" w:sz="4" w:space="0"/>
              <w:bottom w:val="single" w:color="000000" w:sz="4" w:space="0"/>
              <w:right w:val="single" w:color="000000" w:sz="4" w:space="0"/>
            </w:tcBorders>
            <w:shd w:val="clear" w:color="auto" w:fill="0070C0"/>
            <w:vAlign w:val="center"/>
          </w:tcPr>
          <w:p w14:paraId="51AEB60C">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202</w:t>
            </w:r>
            <w:r>
              <w:rPr>
                <w:rFonts w:hint="eastAsia" w:ascii="Times New Roman" w:hAnsi="Times New Roman" w:eastAsia="宋体" w:cs="Times New Roman"/>
                <w:b/>
                <w:bCs/>
                <w:snapToGrid w:val="0"/>
                <w:color w:val="FFFFFF"/>
                <w:spacing w:val="7"/>
                <w:kern w:val="0"/>
                <w:sz w:val="20"/>
                <w:szCs w:val="20"/>
                <w:lang w:val="en-US" w:eastAsia="zh-CN" w:bidi="ar-SA"/>
              </w:rPr>
              <w:t>6</w:t>
            </w:r>
            <w:r>
              <w:rPr>
                <w:rFonts w:hint="default" w:ascii="Times New Roman" w:hAnsi="Times New Roman" w:eastAsia="宋体" w:cs="Times New Roman"/>
                <w:b/>
                <w:bCs/>
                <w:snapToGrid w:val="0"/>
                <w:color w:val="FFFFFF"/>
                <w:spacing w:val="7"/>
                <w:kern w:val="0"/>
                <w:sz w:val="20"/>
                <w:szCs w:val="20"/>
                <w:lang w:val="en-US" w:eastAsia="zh-CN" w:bidi="ar-SA"/>
              </w:rPr>
              <w:t>年</w:t>
            </w:r>
            <w:r>
              <w:rPr>
                <w:rFonts w:hint="eastAsia" w:ascii="Times New Roman" w:hAnsi="Times New Roman" w:eastAsia="宋体" w:cs="Times New Roman"/>
                <w:b/>
                <w:bCs/>
                <w:snapToGrid w:val="0"/>
                <w:color w:val="FFFFFF"/>
                <w:spacing w:val="7"/>
                <w:kern w:val="0"/>
                <w:sz w:val="20"/>
                <w:szCs w:val="20"/>
                <w:lang w:val="en-US" w:eastAsia="zh-CN" w:bidi="ar-SA"/>
              </w:rPr>
              <w:t>3</w:t>
            </w:r>
            <w:r>
              <w:rPr>
                <w:rFonts w:hint="default" w:ascii="Times New Roman" w:hAnsi="Times New Roman" w:eastAsia="宋体" w:cs="Times New Roman"/>
                <w:b/>
                <w:bCs/>
                <w:snapToGrid w:val="0"/>
                <w:color w:val="FFFFFF"/>
                <w:spacing w:val="7"/>
                <w:kern w:val="0"/>
                <w:sz w:val="20"/>
                <w:szCs w:val="20"/>
                <w:lang w:val="en-US" w:eastAsia="zh-CN" w:bidi="ar-SA"/>
              </w:rPr>
              <w:t>月末</w:t>
            </w:r>
          </w:p>
        </w:tc>
        <w:tc>
          <w:tcPr>
            <w:tcW w:w="2043" w:type="dxa"/>
            <w:gridSpan w:val="2"/>
            <w:tcBorders>
              <w:top w:val="single" w:color="000000" w:sz="8" w:space="0"/>
              <w:left w:val="single" w:color="000000" w:sz="4" w:space="0"/>
              <w:bottom w:val="single" w:color="000000" w:sz="4" w:space="0"/>
              <w:right w:val="single" w:color="000000" w:sz="4" w:space="0"/>
            </w:tcBorders>
            <w:shd w:val="clear" w:color="auto" w:fill="0070C0"/>
            <w:vAlign w:val="center"/>
          </w:tcPr>
          <w:p w14:paraId="64AA2EF5">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变动情况</w:t>
            </w:r>
          </w:p>
        </w:tc>
      </w:tr>
      <w:tr w14:paraId="7D4AD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5" w:hRule="atLeast"/>
          <w:jc w:val="center"/>
        </w:trPr>
        <w:tc>
          <w:tcPr>
            <w:tcW w:w="1376" w:type="dxa"/>
            <w:vMerge w:val="continue"/>
            <w:tcBorders>
              <w:top w:val="single" w:color="000000" w:sz="8" w:space="0"/>
              <w:left w:val="single" w:color="000000" w:sz="8" w:space="0"/>
              <w:bottom w:val="single" w:color="000000" w:sz="4" w:space="0"/>
              <w:right w:val="single" w:color="000000" w:sz="4" w:space="0"/>
            </w:tcBorders>
            <w:shd w:val="clear" w:color="auto" w:fill="0070C0"/>
            <w:vAlign w:val="center"/>
          </w:tcPr>
          <w:p w14:paraId="3236F279">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p>
        </w:tc>
        <w:tc>
          <w:tcPr>
            <w:tcW w:w="870"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1125C9BA">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股东</w:t>
            </w:r>
          </w:p>
          <w:p w14:paraId="485E9A55">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户数</w:t>
            </w:r>
          </w:p>
        </w:tc>
        <w:tc>
          <w:tcPr>
            <w:tcW w:w="1140"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711C9EF0">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持股数量</w:t>
            </w:r>
          </w:p>
          <w:p w14:paraId="663DE472">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（万股）</w:t>
            </w:r>
          </w:p>
        </w:tc>
        <w:tc>
          <w:tcPr>
            <w:tcW w:w="1080"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43B50638">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持股比例（%）</w:t>
            </w:r>
          </w:p>
        </w:tc>
        <w:tc>
          <w:tcPr>
            <w:tcW w:w="810"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36FBA3F5">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股东</w:t>
            </w:r>
          </w:p>
          <w:p w14:paraId="1E1C5FA6">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户数</w:t>
            </w:r>
          </w:p>
        </w:tc>
        <w:tc>
          <w:tcPr>
            <w:tcW w:w="1170"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0675ABAB">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持股数量</w:t>
            </w:r>
            <w:r>
              <w:rPr>
                <w:rFonts w:hint="default" w:ascii="Times New Roman" w:hAnsi="Times New Roman" w:eastAsia="宋体" w:cs="Times New Roman"/>
                <w:b/>
                <w:bCs/>
                <w:snapToGrid w:val="0"/>
                <w:color w:val="FFFFFF"/>
                <w:spacing w:val="7"/>
                <w:kern w:val="0"/>
                <w:sz w:val="20"/>
                <w:szCs w:val="20"/>
                <w:lang w:val="en-US" w:eastAsia="zh-CN" w:bidi="ar-SA"/>
              </w:rPr>
              <w:br w:type="textWrapping"/>
            </w:r>
            <w:r>
              <w:rPr>
                <w:rFonts w:hint="default" w:ascii="Times New Roman" w:hAnsi="Times New Roman" w:eastAsia="宋体" w:cs="Times New Roman"/>
                <w:b/>
                <w:bCs/>
                <w:snapToGrid w:val="0"/>
                <w:color w:val="FFFFFF"/>
                <w:spacing w:val="7"/>
                <w:kern w:val="0"/>
                <w:sz w:val="20"/>
                <w:szCs w:val="20"/>
                <w:lang w:val="en-US" w:eastAsia="zh-CN" w:bidi="ar-SA"/>
              </w:rPr>
              <w:t>（万股）</w:t>
            </w:r>
          </w:p>
        </w:tc>
        <w:tc>
          <w:tcPr>
            <w:tcW w:w="1050"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1A68D9EA">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持股比例（%）</w:t>
            </w:r>
          </w:p>
        </w:tc>
        <w:tc>
          <w:tcPr>
            <w:tcW w:w="780"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00609CAA">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股东</w:t>
            </w:r>
          </w:p>
          <w:p w14:paraId="0A546CEE">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户数</w:t>
            </w:r>
          </w:p>
        </w:tc>
        <w:tc>
          <w:tcPr>
            <w:tcW w:w="1263"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29741E86">
            <w:pPr>
              <w:keepNext w:val="0"/>
              <w:keepLines w:val="0"/>
              <w:widowControl/>
              <w:suppressLineNumbers w:val="0"/>
              <w:jc w:val="center"/>
              <w:textAlignment w:val="center"/>
              <w:rPr>
                <w:rFonts w:hint="eastAsia" w:ascii="宋体" w:hAnsi="宋体" w:eastAsia="宋体" w:cs="宋体"/>
                <w:b/>
                <w:bCs/>
                <w:snapToGrid w:val="0"/>
                <w:color w:val="FFFFFF"/>
                <w:spacing w:val="7"/>
                <w:kern w:val="0"/>
                <w:sz w:val="20"/>
                <w:szCs w:val="20"/>
                <w:lang w:val="en-US" w:eastAsia="zh-CN" w:bidi="ar-SA"/>
              </w:rPr>
            </w:pPr>
            <w:r>
              <w:rPr>
                <w:rFonts w:hint="eastAsia" w:ascii="宋体" w:hAnsi="宋体" w:eastAsia="宋体" w:cs="宋体"/>
                <w:b/>
                <w:bCs/>
                <w:snapToGrid w:val="0"/>
                <w:color w:val="FFFFFF"/>
                <w:spacing w:val="7"/>
                <w:kern w:val="0"/>
                <w:sz w:val="20"/>
                <w:szCs w:val="20"/>
                <w:lang w:val="en-US" w:eastAsia="zh-CN" w:bidi="ar-SA"/>
              </w:rPr>
              <w:t>持股数量</w:t>
            </w:r>
          </w:p>
          <w:p w14:paraId="0ED9AFED">
            <w:pPr>
              <w:keepNext w:val="0"/>
              <w:keepLines w:val="0"/>
              <w:widowControl/>
              <w:suppressLineNumbers w:val="0"/>
              <w:jc w:val="center"/>
              <w:textAlignment w:val="center"/>
              <w:rPr>
                <w:rFonts w:hint="default" w:ascii="宋体" w:hAnsi="宋体" w:eastAsia="宋体" w:cs="宋体"/>
                <w:b/>
                <w:bCs/>
                <w:snapToGrid w:val="0"/>
                <w:color w:val="FFFFFF"/>
                <w:spacing w:val="7"/>
                <w:kern w:val="0"/>
                <w:sz w:val="20"/>
                <w:szCs w:val="20"/>
                <w:lang w:val="en-US" w:eastAsia="zh-CN" w:bidi="ar-SA"/>
              </w:rPr>
            </w:pPr>
            <w:r>
              <w:rPr>
                <w:rFonts w:hint="eastAsia" w:ascii="宋体" w:hAnsi="宋体" w:eastAsia="宋体" w:cs="宋体"/>
                <w:b/>
                <w:bCs/>
                <w:snapToGrid w:val="0"/>
                <w:color w:val="FFFFFF"/>
                <w:spacing w:val="7"/>
                <w:kern w:val="0"/>
                <w:sz w:val="20"/>
                <w:szCs w:val="20"/>
                <w:lang w:val="en-US" w:eastAsia="zh-CN" w:bidi="ar-SA"/>
              </w:rPr>
              <w:t>（万股）</w:t>
            </w:r>
          </w:p>
        </w:tc>
      </w:tr>
      <w:tr w14:paraId="58A3C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37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26530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企业法人</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B87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88</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880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91013.25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7D08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46.04</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6EB9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88</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8DA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86679.28</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82FF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46.04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BD3FF">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snapToGrid w:val="0"/>
                <w:color w:val="000000"/>
                <w:kern w:val="0"/>
                <w:sz w:val="20"/>
                <w:szCs w:val="20"/>
                <w:u w:val="none"/>
                <w:lang w:val="en-US" w:eastAsia="zh-CN" w:bidi="ar"/>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94C35">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4333.97</w:t>
            </w:r>
          </w:p>
        </w:tc>
      </w:tr>
      <w:tr w14:paraId="31B87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37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65618A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社会自然人</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C60F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10146</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6B7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72775.26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CBD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36.81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AFE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10147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1DAB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color w:val="000000"/>
                <w:sz w:val="20"/>
                <w:szCs w:val="20"/>
                <w:u w:val="none"/>
                <w:lang w:val="en-US" w:eastAsia="zh-CN"/>
              </w:rPr>
              <w:t>69309.71</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48F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snapToGrid w:val="0"/>
                <w:color w:val="000000"/>
                <w:kern w:val="0"/>
                <w:sz w:val="20"/>
                <w:szCs w:val="20"/>
                <w:u w:val="none"/>
                <w:lang w:val="en-US" w:eastAsia="zh-CN" w:bidi="ar"/>
              </w:rPr>
              <w:t>36.8</w:t>
            </w:r>
            <w:r>
              <w:rPr>
                <w:rFonts w:hint="eastAsia" w:ascii="Times New Roman" w:hAnsi="Times New Roman" w:eastAsia="宋体" w:cs="Times New Roman"/>
                <w:i w:val="0"/>
                <w:iCs w:val="0"/>
                <w:snapToGrid w:val="0"/>
                <w:color w:val="000000"/>
                <w:kern w:val="0"/>
                <w:sz w:val="20"/>
                <w:szCs w:val="20"/>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997AC">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-1</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A5859">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3465.55</w:t>
            </w:r>
          </w:p>
        </w:tc>
      </w:tr>
      <w:tr w14:paraId="7079B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37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B0180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职工</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6C1E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1124</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D42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33903.42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1F7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17.15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7DF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1124</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4CA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32288.98</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2FBA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17.15</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73B27">
            <w:pPr>
              <w:keepNext w:val="0"/>
              <w:keepLines w:val="0"/>
              <w:widowControl/>
              <w:suppressLineNumbers w:val="0"/>
              <w:jc w:val="center"/>
              <w:textAlignment w:val="center"/>
              <w:rPr>
                <w:rFonts w:hint="eastAsia"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9E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1614.44</w:t>
            </w:r>
          </w:p>
        </w:tc>
      </w:tr>
      <w:tr w14:paraId="3261B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376" w:type="dxa"/>
            <w:tcBorders>
              <w:top w:val="single" w:color="000000" w:sz="4" w:space="0"/>
              <w:left w:val="single" w:color="000000" w:sz="8" w:space="0"/>
              <w:bottom w:val="single" w:color="000000" w:sz="8" w:space="0"/>
              <w:right w:val="single" w:color="000000" w:sz="4" w:space="0"/>
            </w:tcBorders>
            <w:shd w:val="clear" w:color="auto" w:fill="auto"/>
            <w:vAlign w:val="center"/>
          </w:tcPr>
          <w:p w14:paraId="48DB6F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合 计</w:t>
            </w:r>
          </w:p>
        </w:tc>
        <w:tc>
          <w:tcPr>
            <w:tcW w:w="87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4F8F41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11358</w:t>
            </w:r>
          </w:p>
        </w:tc>
        <w:tc>
          <w:tcPr>
            <w:tcW w:w="114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14DF5A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197691.93</w:t>
            </w:r>
          </w:p>
        </w:tc>
        <w:tc>
          <w:tcPr>
            <w:tcW w:w="108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12BE5A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100</w:t>
            </w:r>
          </w:p>
        </w:tc>
        <w:tc>
          <w:tcPr>
            <w:tcW w:w="81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243B3E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11359</w:t>
            </w:r>
          </w:p>
        </w:tc>
        <w:tc>
          <w:tcPr>
            <w:tcW w:w="117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0A28D5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188277.97</w:t>
            </w:r>
          </w:p>
        </w:tc>
        <w:tc>
          <w:tcPr>
            <w:tcW w:w="105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231693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100</w:t>
            </w:r>
          </w:p>
        </w:tc>
        <w:tc>
          <w:tcPr>
            <w:tcW w:w="78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495169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-1</w:t>
            </w:r>
          </w:p>
        </w:tc>
        <w:tc>
          <w:tcPr>
            <w:tcW w:w="1263" w:type="dxa"/>
            <w:tcBorders>
              <w:top w:val="single" w:color="000000" w:sz="4" w:space="0"/>
              <w:left w:val="single" w:color="000000" w:sz="4" w:space="0"/>
              <w:bottom w:val="single" w:color="000000" w:sz="8" w:space="0"/>
              <w:right w:val="single" w:color="000000" w:sz="4" w:space="0"/>
            </w:tcBorders>
            <w:shd w:val="clear" w:color="auto" w:fill="auto"/>
            <w:vAlign w:val="center"/>
          </w:tcPr>
          <w:p w14:paraId="5102F3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9413.96</w:t>
            </w:r>
          </w:p>
        </w:tc>
      </w:tr>
    </w:tbl>
    <w:p w14:paraId="5F22410D">
      <w:pPr>
        <w:spacing w:line="64" w:lineRule="auto"/>
        <w:rPr>
          <w:rFonts w:ascii="Arial"/>
          <w:sz w:val="2"/>
        </w:rPr>
      </w:pPr>
    </w:p>
    <w:p w14:paraId="01559298">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60" w:firstLineChars="200"/>
        <w:textAlignment w:val="baseline"/>
        <w:rPr>
          <w:rFonts w:hint="eastAsia" w:ascii="楷体_GB2312" w:hAnsi="楷体_GB2312" w:eastAsia="楷体_GB2312" w:cs="楷体_GB2312"/>
          <w:b w:val="0"/>
          <w:bCs w:val="0"/>
          <w:spacing w:val="5"/>
          <w:sz w:val="32"/>
          <w:szCs w:val="32"/>
        </w:rPr>
      </w:pPr>
      <w:r>
        <w:rPr>
          <w:rFonts w:hint="eastAsia" w:ascii="楷体_GB2312" w:hAnsi="楷体_GB2312" w:eastAsia="楷体_GB2312" w:cs="楷体_GB2312"/>
          <w:b w:val="0"/>
          <w:bCs w:val="0"/>
          <w:spacing w:val="5"/>
          <w:sz w:val="32"/>
          <w:szCs w:val="32"/>
        </w:rPr>
        <w:t>（二）股东情况</w:t>
      </w:r>
    </w:p>
    <w:p w14:paraId="1AA06DBF">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textAlignment w:val="baseline"/>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1.股东总数及构成</w:t>
      </w:r>
    </w:p>
    <w:p w14:paraId="5591797D">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b/>
          <w:bCs/>
          <w:sz w:val="32"/>
          <w:szCs w:val="32"/>
        </w:rPr>
      </w:pPr>
      <w:r>
        <w:rPr>
          <w:rFonts w:hint="default" w:ascii="Times New Roman" w:hAnsi="Times New Roman" w:eastAsia="仿宋_GB2312" w:cs="Times New Roman"/>
          <w:sz w:val="32"/>
          <w:szCs w:val="32"/>
        </w:rPr>
        <w:t>截至报告期末，本行股东总数为</w:t>
      </w:r>
      <w:r>
        <w:rPr>
          <w:rFonts w:hint="eastAsia" w:ascii="Times New Roman" w:hAnsi="Times New Roman" w:eastAsia="仿宋_GB2312" w:cs="Times New Roman"/>
          <w:sz w:val="32"/>
          <w:szCs w:val="32"/>
          <w:lang w:val="en-US" w:eastAsia="zh-CN"/>
        </w:rPr>
        <w:t>11358</w:t>
      </w:r>
      <w:r>
        <w:rPr>
          <w:rFonts w:hint="default" w:ascii="Times New Roman" w:hAnsi="Times New Roman" w:eastAsia="仿宋_GB2312" w:cs="Times New Roman"/>
          <w:sz w:val="32"/>
          <w:szCs w:val="32"/>
        </w:rPr>
        <w:t>户，股份总数为</w:t>
      </w:r>
      <w:r>
        <w:rPr>
          <w:rFonts w:hint="eastAsia" w:ascii="Times New Roman" w:hAnsi="Times New Roman" w:eastAsia="仿宋_GB2312" w:cs="Times New Roman"/>
          <w:sz w:val="32"/>
          <w:szCs w:val="32"/>
          <w:lang w:val="en-US" w:eastAsia="zh-CN"/>
        </w:rPr>
        <w:t>197691.9317</w:t>
      </w:r>
      <w:r>
        <w:rPr>
          <w:rFonts w:hint="default" w:ascii="Times New Roman" w:hAnsi="Times New Roman" w:eastAsia="仿宋_GB2312" w:cs="Times New Roman"/>
          <w:sz w:val="32"/>
          <w:szCs w:val="32"/>
        </w:rPr>
        <w:t>万股。其中，企业法人股东</w:t>
      </w:r>
      <w:r>
        <w:rPr>
          <w:rFonts w:hint="eastAsia" w:ascii="Times New Roman" w:hAnsi="Times New Roman" w:eastAsia="仿宋_GB2312" w:cs="Times New Roman"/>
          <w:sz w:val="32"/>
          <w:szCs w:val="32"/>
          <w:lang w:val="en-US" w:eastAsia="zh-CN"/>
        </w:rPr>
        <w:t>88</w:t>
      </w:r>
      <w:r>
        <w:rPr>
          <w:rFonts w:hint="default" w:ascii="Times New Roman" w:hAnsi="Times New Roman" w:eastAsia="仿宋_GB2312" w:cs="Times New Roman"/>
          <w:sz w:val="32"/>
          <w:szCs w:val="32"/>
        </w:rPr>
        <w:t>户，持有股份</w:t>
      </w:r>
      <w:r>
        <w:rPr>
          <w:rFonts w:hint="eastAsia" w:ascii="Times New Roman" w:hAnsi="Times New Roman" w:eastAsia="仿宋_GB2312" w:cs="Times New Roman"/>
          <w:sz w:val="32"/>
          <w:szCs w:val="32"/>
          <w:lang w:val="en-US" w:eastAsia="zh-CN"/>
        </w:rPr>
        <w:t>91013.2451</w:t>
      </w:r>
      <w:r>
        <w:rPr>
          <w:rFonts w:hint="default" w:ascii="Times New Roman" w:hAnsi="Times New Roman" w:eastAsia="仿宋_GB2312" w:cs="Times New Roman"/>
          <w:sz w:val="32"/>
          <w:szCs w:val="32"/>
        </w:rPr>
        <w:t>万股，占总股本的</w:t>
      </w:r>
      <w:r>
        <w:rPr>
          <w:rFonts w:hint="eastAsia" w:ascii="Times New Roman" w:hAnsi="Times New Roman" w:eastAsia="仿宋_GB2312" w:cs="Times New Roman"/>
          <w:sz w:val="32"/>
          <w:szCs w:val="32"/>
          <w:lang w:val="en-US" w:eastAsia="zh-CN"/>
        </w:rPr>
        <w:t>46.04</w:t>
      </w:r>
      <w:r>
        <w:rPr>
          <w:rFonts w:hint="default" w:ascii="Times New Roman" w:hAnsi="Times New Roman" w:eastAsia="仿宋_GB2312" w:cs="Times New Roman"/>
          <w:sz w:val="32"/>
          <w:szCs w:val="32"/>
        </w:rPr>
        <w:t>%；社会自然人股东</w:t>
      </w:r>
      <w:r>
        <w:rPr>
          <w:rFonts w:hint="eastAsia" w:ascii="Times New Roman" w:hAnsi="Times New Roman" w:eastAsia="仿宋_GB2312" w:cs="Times New Roman"/>
          <w:sz w:val="32"/>
          <w:szCs w:val="32"/>
          <w:lang w:val="en-US" w:eastAsia="zh-CN"/>
        </w:rPr>
        <w:t>10146</w:t>
      </w:r>
      <w:r>
        <w:rPr>
          <w:rFonts w:hint="default" w:ascii="Times New Roman" w:hAnsi="Times New Roman" w:eastAsia="仿宋_GB2312" w:cs="Times New Roman"/>
          <w:sz w:val="32"/>
          <w:szCs w:val="32"/>
        </w:rPr>
        <w:t>户，持有</w:t>
      </w:r>
      <w:r>
        <w:rPr>
          <w:rFonts w:hint="eastAsia" w:ascii="Times New Roman" w:hAnsi="Times New Roman" w:eastAsia="仿宋_GB2312" w:cs="Times New Roman"/>
          <w:sz w:val="32"/>
          <w:szCs w:val="32"/>
          <w:lang w:val="en-US" w:eastAsia="zh-CN"/>
        </w:rPr>
        <w:t>72775.2632</w:t>
      </w:r>
      <w:r>
        <w:rPr>
          <w:rFonts w:hint="default" w:ascii="Times New Roman" w:hAnsi="Times New Roman" w:eastAsia="仿宋_GB2312" w:cs="Times New Roman"/>
          <w:sz w:val="32"/>
          <w:szCs w:val="32"/>
        </w:rPr>
        <w:t>万股， 占总股本的</w:t>
      </w:r>
      <w:r>
        <w:rPr>
          <w:rFonts w:hint="eastAsia" w:ascii="Times New Roman" w:hAnsi="Times New Roman" w:eastAsia="仿宋_GB2312" w:cs="Times New Roman"/>
          <w:sz w:val="32"/>
          <w:szCs w:val="32"/>
          <w:lang w:val="en-US" w:eastAsia="zh-CN"/>
        </w:rPr>
        <w:t>36.81</w:t>
      </w:r>
      <w:r>
        <w:rPr>
          <w:rFonts w:hint="default" w:ascii="Times New Roman" w:hAnsi="Times New Roman" w:eastAsia="仿宋_GB2312" w:cs="Times New Roman"/>
          <w:sz w:val="32"/>
          <w:szCs w:val="32"/>
        </w:rPr>
        <w:t>%；职工股</w:t>
      </w:r>
      <w:r>
        <w:rPr>
          <w:rFonts w:hint="eastAsia" w:ascii="Times New Roman" w:hAnsi="Times New Roman" w:eastAsia="仿宋_GB2312" w:cs="Times New Roman"/>
          <w:sz w:val="32"/>
          <w:szCs w:val="32"/>
          <w:lang w:val="en-US" w:eastAsia="zh-CN"/>
        </w:rPr>
        <w:t>1124</w:t>
      </w:r>
      <w:r>
        <w:rPr>
          <w:rFonts w:hint="default" w:ascii="Times New Roman" w:hAnsi="Times New Roman" w:eastAsia="仿宋_GB2312" w:cs="Times New Roman"/>
          <w:sz w:val="32"/>
          <w:szCs w:val="32"/>
        </w:rPr>
        <w:t>户，持有股份</w:t>
      </w:r>
      <w:r>
        <w:rPr>
          <w:rFonts w:hint="eastAsia" w:ascii="Times New Roman" w:hAnsi="Times New Roman" w:eastAsia="仿宋_GB2312" w:cs="Times New Roman"/>
          <w:sz w:val="32"/>
          <w:szCs w:val="32"/>
          <w:lang w:val="en-US" w:eastAsia="zh-CN"/>
        </w:rPr>
        <w:t>33903.4234</w:t>
      </w:r>
      <w:r>
        <w:rPr>
          <w:rFonts w:hint="default" w:ascii="Times New Roman" w:hAnsi="Times New Roman" w:eastAsia="仿宋_GB2312" w:cs="Times New Roman"/>
          <w:sz w:val="32"/>
          <w:szCs w:val="32"/>
        </w:rPr>
        <w:t>万股，占总股本的</w:t>
      </w:r>
      <w:r>
        <w:rPr>
          <w:rFonts w:hint="eastAsia" w:ascii="Times New Roman" w:hAnsi="Times New Roman" w:eastAsia="仿宋_GB2312" w:cs="Times New Roman"/>
          <w:sz w:val="32"/>
          <w:szCs w:val="32"/>
          <w:lang w:val="en-US" w:eastAsia="zh-CN"/>
        </w:rPr>
        <w:t>17.15</w:t>
      </w:r>
      <w:r>
        <w:rPr>
          <w:rFonts w:hint="default" w:ascii="Times New Roman" w:hAnsi="Times New Roman" w:eastAsia="仿宋_GB2312" w:cs="Times New Roman"/>
          <w:sz w:val="32"/>
          <w:szCs w:val="32"/>
        </w:rPr>
        <w:t>%。</w:t>
      </w:r>
    </w:p>
    <w:p w14:paraId="778388BE">
      <w:pPr>
        <w:keepNext w:val="0"/>
        <w:keepLines w:val="0"/>
        <w:pageBreakBefore w:val="0"/>
        <w:widowControl/>
        <w:numPr>
          <w:ilvl w:val="0"/>
          <w:numId w:val="2"/>
        </w:numPr>
        <w:kinsoku w:val="0"/>
        <w:wordWrap/>
        <w:overflowPunct/>
        <w:topLinePunct w:val="0"/>
        <w:autoSpaceDE w:val="0"/>
        <w:autoSpaceDN w:val="0"/>
        <w:bidi w:val="0"/>
        <w:adjustRightInd w:val="0"/>
        <w:snapToGrid w:val="0"/>
        <w:spacing w:line="560" w:lineRule="exact"/>
        <w:ind w:firstLine="643" w:firstLineChars="200"/>
        <w:jc w:val="both"/>
        <w:textAlignment w:val="baseline"/>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报告期内股权变更情况</w:t>
      </w:r>
    </w:p>
    <w:p w14:paraId="3A9070E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本行严格按照监管规定、公司章程及股权管理办法规范股权转让行为。报告期内，本行共发生股权转让</w:t>
      </w:r>
      <w:r>
        <w:rPr>
          <w:rFonts w:hint="eastAsia"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rPr>
        <w:t>笔，共计</w:t>
      </w:r>
      <w:r>
        <w:rPr>
          <w:rFonts w:hint="eastAsia" w:ascii="Times New Roman" w:hAnsi="Times New Roman" w:eastAsia="仿宋_GB2312" w:cs="Times New Roman"/>
          <w:sz w:val="32"/>
          <w:szCs w:val="32"/>
          <w:lang w:val="en-US" w:eastAsia="zh-CN"/>
        </w:rPr>
        <w:t>129.65</w:t>
      </w:r>
      <w:r>
        <w:rPr>
          <w:rFonts w:hint="default" w:ascii="Times New Roman" w:hAnsi="Times New Roman" w:eastAsia="仿宋_GB2312" w:cs="Times New Roman"/>
          <w:sz w:val="32"/>
          <w:szCs w:val="32"/>
        </w:rPr>
        <w:t>万股。</w:t>
      </w:r>
    </w:p>
    <w:p w14:paraId="1FEA4AC5">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b/>
          <w:bCs/>
          <w:sz w:val="32"/>
          <w:szCs w:val="32"/>
        </w:rPr>
      </w:pPr>
      <w:r>
        <w:rPr>
          <w:rFonts w:hint="default" w:ascii="Times New Roman" w:hAnsi="Times New Roman" w:eastAsia="仿宋_GB2312" w:cs="Times New Roman"/>
          <w:sz w:val="32"/>
          <w:szCs w:val="32"/>
        </w:rPr>
        <w:t>报告期末，本行被司法冻结股份为</w:t>
      </w:r>
      <w:r>
        <w:rPr>
          <w:rFonts w:hint="eastAsia" w:ascii="Times New Roman" w:hAnsi="Times New Roman" w:eastAsia="仿宋_GB2312" w:cs="Times New Roman"/>
          <w:sz w:val="32"/>
          <w:szCs w:val="32"/>
          <w:lang w:val="en-US" w:eastAsia="zh-CN"/>
        </w:rPr>
        <w:t>330.95</w:t>
      </w:r>
      <w:r>
        <w:rPr>
          <w:rFonts w:hint="default" w:ascii="Times New Roman" w:hAnsi="Times New Roman" w:eastAsia="仿宋_GB2312" w:cs="Times New Roman"/>
          <w:sz w:val="32"/>
          <w:szCs w:val="32"/>
        </w:rPr>
        <w:t>万股，占总股本的</w:t>
      </w:r>
      <w:r>
        <w:rPr>
          <w:rFonts w:hint="eastAsia" w:ascii="Times New Roman" w:hAnsi="Times New Roman" w:eastAsia="仿宋_GB2312" w:cs="Times New Roman"/>
          <w:sz w:val="32"/>
          <w:szCs w:val="32"/>
          <w:lang w:val="en-US" w:eastAsia="zh-CN"/>
        </w:rPr>
        <w:t>0.17</w:t>
      </w:r>
      <w:r>
        <w:rPr>
          <w:rFonts w:hint="default" w:ascii="Times New Roman" w:hAnsi="Times New Roman" w:eastAsia="仿宋_GB2312" w:cs="Times New Roman"/>
          <w:sz w:val="32"/>
          <w:szCs w:val="32"/>
        </w:rPr>
        <w:t>%；其中，质押股份数额为</w:t>
      </w:r>
      <w:r>
        <w:rPr>
          <w:rFonts w:hint="eastAsia" w:ascii="Times New Roman" w:hAnsi="Times New Roman" w:eastAsia="仿宋_GB2312" w:cs="Times New Roman"/>
          <w:sz w:val="32"/>
          <w:szCs w:val="32"/>
          <w:lang w:val="en-US" w:eastAsia="zh-CN"/>
        </w:rPr>
        <w:t>9140.1349</w:t>
      </w:r>
      <w:r>
        <w:rPr>
          <w:rFonts w:hint="default" w:ascii="Times New Roman" w:hAnsi="Times New Roman" w:eastAsia="仿宋_GB2312" w:cs="Times New Roman"/>
          <w:sz w:val="32"/>
          <w:szCs w:val="32"/>
        </w:rPr>
        <w:t>万股</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占总股本的</w:t>
      </w:r>
      <w:r>
        <w:rPr>
          <w:rFonts w:hint="eastAsia" w:ascii="Times New Roman" w:hAnsi="Times New Roman" w:eastAsia="仿宋_GB2312" w:cs="Times New Roman"/>
          <w:sz w:val="32"/>
          <w:szCs w:val="32"/>
          <w:lang w:val="en-US" w:eastAsia="zh-CN"/>
        </w:rPr>
        <w:t>4.62</w:t>
      </w:r>
      <w:r>
        <w:rPr>
          <w:rFonts w:hint="default" w:ascii="Times New Roman" w:hAnsi="Times New Roman" w:eastAsia="仿宋_GB2312" w:cs="Times New Roman"/>
          <w:sz w:val="32"/>
          <w:szCs w:val="32"/>
        </w:rPr>
        <w:t>%。被质押股权未涉及司法冻结或拍卖情况。不存在股东将所持本行股份质押在本行的情形。</w:t>
      </w:r>
    </w:p>
    <w:p w14:paraId="45BAACD7">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both"/>
        <w:textAlignment w:val="baseline"/>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3.报告期末前十大股东持股情况</w:t>
      </w:r>
    </w:p>
    <w:tbl>
      <w:tblPr>
        <w:tblStyle w:val="6"/>
        <w:tblW w:w="89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0"/>
        <w:gridCol w:w="2837"/>
        <w:gridCol w:w="1260"/>
        <w:gridCol w:w="1170"/>
        <w:gridCol w:w="1395"/>
        <w:gridCol w:w="1578"/>
      </w:tblGrid>
      <w:tr w14:paraId="20C31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0" w:hRule="atLeast"/>
        </w:trPr>
        <w:tc>
          <w:tcPr>
            <w:tcW w:w="720" w:type="dxa"/>
            <w:tcBorders>
              <w:top w:val="single" w:color="000000" w:sz="8" w:space="0"/>
              <w:left w:val="single" w:color="000000" w:sz="8" w:space="0"/>
              <w:bottom w:val="single" w:color="000000" w:sz="4" w:space="0"/>
              <w:right w:val="single" w:color="000000" w:sz="4" w:space="0"/>
            </w:tcBorders>
            <w:shd w:val="clear" w:color="auto" w:fill="0070C0"/>
            <w:vAlign w:val="center"/>
          </w:tcPr>
          <w:p w14:paraId="3CC9E77B">
            <w:pPr>
              <w:keepNext w:val="0"/>
              <w:keepLines w:val="0"/>
              <w:widowControl/>
              <w:suppressLineNumbers w:val="0"/>
              <w:jc w:val="left"/>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持股</w:t>
            </w:r>
            <w:r>
              <w:rPr>
                <w:rFonts w:hint="default" w:ascii="Times New Roman" w:hAnsi="Times New Roman" w:eastAsia="宋体" w:cs="Times New Roman"/>
                <w:b/>
                <w:bCs/>
                <w:snapToGrid w:val="0"/>
                <w:color w:val="FFFFFF"/>
                <w:spacing w:val="7"/>
                <w:kern w:val="0"/>
                <w:sz w:val="20"/>
                <w:szCs w:val="20"/>
                <w:lang w:val="en-US" w:eastAsia="zh-CN" w:bidi="ar-SA"/>
              </w:rPr>
              <w:br w:type="textWrapping"/>
            </w:r>
            <w:r>
              <w:rPr>
                <w:rFonts w:hint="default" w:ascii="Times New Roman" w:hAnsi="Times New Roman" w:eastAsia="宋体" w:cs="Times New Roman"/>
                <w:b/>
                <w:bCs/>
                <w:snapToGrid w:val="0"/>
                <w:color w:val="FFFFFF"/>
                <w:spacing w:val="7"/>
                <w:kern w:val="0"/>
                <w:sz w:val="20"/>
                <w:szCs w:val="20"/>
                <w:lang w:val="en-US" w:eastAsia="zh-CN" w:bidi="ar-SA"/>
              </w:rPr>
              <w:t>排名</w:t>
            </w:r>
          </w:p>
        </w:tc>
        <w:tc>
          <w:tcPr>
            <w:tcW w:w="2837"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03005356">
            <w:pPr>
              <w:keepNext w:val="0"/>
              <w:keepLines w:val="0"/>
              <w:widowControl/>
              <w:suppressLineNumbers w:val="0"/>
              <w:ind w:firstLine="644" w:firstLineChars="300"/>
              <w:jc w:val="left"/>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股东名称</w:t>
            </w:r>
          </w:p>
        </w:tc>
        <w:tc>
          <w:tcPr>
            <w:tcW w:w="1260"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5A6565B3">
            <w:pPr>
              <w:keepNext w:val="0"/>
              <w:keepLines w:val="0"/>
              <w:widowControl/>
              <w:suppressLineNumbers w:val="0"/>
              <w:jc w:val="left"/>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 xml:space="preserve"> 持股数量  （万股）</w:t>
            </w:r>
          </w:p>
        </w:tc>
        <w:tc>
          <w:tcPr>
            <w:tcW w:w="1170"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27A601FC">
            <w:pPr>
              <w:keepNext w:val="0"/>
              <w:keepLines w:val="0"/>
              <w:widowControl/>
              <w:suppressLineNumbers w:val="0"/>
              <w:jc w:val="left"/>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持股比例</w:t>
            </w:r>
            <w:r>
              <w:rPr>
                <w:rFonts w:hint="default" w:ascii="Times New Roman" w:hAnsi="Times New Roman" w:eastAsia="宋体" w:cs="Times New Roman"/>
                <w:b/>
                <w:bCs/>
                <w:snapToGrid w:val="0"/>
                <w:color w:val="FFFFFF"/>
                <w:spacing w:val="7"/>
                <w:kern w:val="0"/>
                <w:sz w:val="20"/>
                <w:szCs w:val="20"/>
                <w:lang w:val="en-US" w:eastAsia="zh-CN" w:bidi="ar-SA"/>
              </w:rPr>
              <w:br w:type="textWrapping"/>
            </w:r>
            <w:r>
              <w:rPr>
                <w:rFonts w:hint="default" w:ascii="Times New Roman" w:hAnsi="Times New Roman" w:eastAsia="宋体" w:cs="Times New Roman"/>
                <w:b/>
                <w:bCs/>
                <w:snapToGrid w:val="0"/>
                <w:color w:val="FFFFFF"/>
                <w:spacing w:val="7"/>
                <w:kern w:val="0"/>
                <w:sz w:val="20"/>
                <w:szCs w:val="20"/>
                <w:lang w:val="en-US" w:eastAsia="zh-CN" w:bidi="ar-SA"/>
              </w:rPr>
              <w:t>（%）</w:t>
            </w:r>
          </w:p>
        </w:tc>
        <w:tc>
          <w:tcPr>
            <w:tcW w:w="1395"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6F52DA98">
            <w:pPr>
              <w:keepNext w:val="0"/>
              <w:keepLines w:val="0"/>
              <w:widowControl/>
              <w:suppressLineNumbers w:val="0"/>
              <w:jc w:val="left"/>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报告期内增减（万股）</w:t>
            </w:r>
          </w:p>
        </w:tc>
        <w:tc>
          <w:tcPr>
            <w:tcW w:w="1578" w:type="dxa"/>
            <w:tcBorders>
              <w:top w:val="single" w:color="000000" w:sz="8" w:space="0"/>
              <w:left w:val="single" w:color="000000" w:sz="4" w:space="0"/>
              <w:bottom w:val="single" w:color="000000" w:sz="4" w:space="0"/>
              <w:right w:val="single" w:color="000000" w:sz="8" w:space="0"/>
            </w:tcBorders>
            <w:shd w:val="clear" w:color="auto" w:fill="0070C0"/>
            <w:vAlign w:val="center"/>
          </w:tcPr>
          <w:p w14:paraId="053753A6">
            <w:pPr>
              <w:keepNext w:val="0"/>
              <w:keepLines w:val="0"/>
              <w:widowControl/>
              <w:suppressLineNumbers w:val="0"/>
              <w:jc w:val="left"/>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质押或冻结情况（万股）</w:t>
            </w:r>
          </w:p>
        </w:tc>
      </w:tr>
      <w:tr w14:paraId="407FF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04F4F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158D4">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snapToGrid w:val="0"/>
                <w:color w:val="auto"/>
                <w:kern w:val="0"/>
                <w:sz w:val="20"/>
                <w:szCs w:val="20"/>
                <w:u w:val="none"/>
                <w:lang w:val="en-US" w:eastAsia="zh-CN" w:bidi="ar"/>
              </w:rPr>
              <w:t>浙江省财开集团有限公司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CD75E">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9884.56</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F3DCD">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C52E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Style w:val="13"/>
                <w:rFonts w:hint="default" w:ascii="Times New Roman" w:hAnsi="Times New Roman" w:cs="Times New Roman"/>
                <w:snapToGrid w:val="0"/>
                <w:color w:val="auto"/>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7DFC55D">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Style w:val="13"/>
                <w:rFonts w:hint="default" w:ascii="Times New Roman" w:hAnsi="Times New Roman" w:cs="Times New Roman"/>
                <w:snapToGrid w:val="0"/>
                <w:color w:val="000000"/>
                <w:lang w:val="en-US" w:eastAsia="zh-CN" w:bidi="ar"/>
              </w:rPr>
              <w:t>无</w:t>
            </w:r>
          </w:p>
        </w:tc>
      </w:tr>
      <w:tr w14:paraId="5AFB5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433FCD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774C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义乌市国有资本运营有限公司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3D40A">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eastAsia" w:ascii="Times New Roman" w:hAnsi="Times New Roman" w:eastAsia="宋体" w:cs="Times New Roman"/>
                <w:i w:val="0"/>
                <w:iCs w:val="0"/>
                <w:snapToGrid w:val="0"/>
                <w:color w:val="000000"/>
                <w:kern w:val="0"/>
                <w:sz w:val="20"/>
                <w:szCs w:val="20"/>
                <w:u w:val="none"/>
                <w:lang w:val="en-US" w:eastAsia="zh-CN" w:bidi="ar"/>
              </w:rPr>
              <w:t>9884.56</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21BB2">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D1D7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Style w:val="13"/>
                <w:rFonts w:hint="default" w:ascii="Times New Roman" w:hAnsi="Times New Roman" w:cs="Times New Roman"/>
                <w:snapToGrid w:val="0"/>
                <w:color w:val="auto"/>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AB128D6">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Style w:val="13"/>
                <w:rFonts w:hint="default" w:ascii="Times New Roman" w:hAnsi="Times New Roman" w:cs="Times New Roman"/>
                <w:snapToGrid w:val="0"/>
                <w:color w:val="000000"/>
                <w:lang w:val="en-US" w:eastAsia="zh-CN" w:bidi="ar"/>
              </w:rPr>
              <w:t>无</w:t>
            </w:r>
          </w:p>
        </w:tc>
      </w:tr>
      <w:tr w14:paraId="02BF7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02C96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D6A1B">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金绣集团有限公司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17F88">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eastAsia" w:ascii="Times New Roman" w:hAnsi="Times New Roman" w:eastAsia="宋体" w:cs="Times New Roman"/>
                <w:i w:val="0"/>
                <w:iCs w:val="0"/>
                <w:snapToGrid w:val="0"/>
                <w:color w:val="000000"/>
                <w:kern w:val="0"/>
                <w:sz w:val="20"/>
                <w:szCs w:val="20"/>
                <w:u w:val="none"/>
                <w:lang w:val="en-US" w:eastAsia="zh-CN" w:bidi="ar"/>
              </w:rPr>
              <w:t>9884.56</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ED6BD">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FE47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Style w:val="13"/>
                <w:rFonts w:hint="default" w:ascii="Times New Roman" w:hAnsi="Times New Roman" w:cs="Times New Roman"/>
                <w:snapToGrid w:val="0"/>
                <w:color w:val="auto"/>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38FEA92">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Style w:val="13"/>
                <w:rFonts w:hint="default" w:ascii="Times New Roman" w:hAnsi="Times New Roman" w:cs="Times New Roman"/>
                <w:snapToGrid w:val="0"/>
                <w:color w:val="000000"/>
                <w:lang w:val="en-US" w:eastAsia="zh-CN" w:bidi="ar"/>
              </w:rPr>
              <w:t>无</w:t>
            </w:r>
          </w:p>
        </w:tc>
      </w:tr>
      <w:tr w14:paraId="2FF3F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913598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4A4FB">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 xml:space="preserve">真爱集团有限公司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13380">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eastAsia" w:ascii="Times New Roman" w:hAnsi="Times New Roman" w:eastAsia="宋体" w:cs="Times New Roman"/>
                <w:i w:val="0"/>
                <w:iCs w:val="0"/>
                <w:snapToGrid w:val="0"/>
                <w:color w:val="000000"/>
                <w:kern w:val="0"/>
                <w:sz w:val="20"/>
                <w:szCs w:val="20"/>
                <w:u w:val="none"/>
                <w:lang w:val="en-US" w:eastAsia="zh-CN" w:bidi="ar"/>
              </w:rPr>
              <w:t>9884.56</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FB78B">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80BE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Style w:val="13"/>
                <w:rFonts w:hint="default" w:ascii="Times New Roman" w:hAnsi="Times New Roman" w:cs="Times New Roman"/>
                <w:snapToGrid w:val="0"/>
                <w:color w:val="auto"/>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5AC2062">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Style w:val="13"/>
                <w:rFonts w:hint="default" w:ascii="Times New Roman" w:hAnsi="Times New Roman" w:cs="Times New Roman"/>
                <w:snapToGrid w:val="0"/>
                <w:color w:val="000000"/>
                <w:lang w:val="en-US" w:eastAsia="zh-CN" w:bidi="ar"/>
              </w:rPr>
              <w:t>质押</w:t>
            </w:r>
            <w:r>
              <w:rPr>
                <w:rStyle w:val="13"/>
                <w:rFonts w:hint="eastAsia" w:ascii="Times New Roman" w:hAnsi="Times New Roman" w:cs="Times New Roman"/>
                <w:snapToGrid w:val="0"/>
                <w:color w:val="000000"/>
                <w:lang w:val="en-US" w:eastAsia="zh-CN" w:bidi="ar"/>
              </w:rPr>
              <w:t>42</w:t>
            </w:r>
            <w:r>
              <w:rPr>
                <w:rStyle w:val="13"/>
                <w:rFonts w:hint="default" w:ascii="Times New Roman" w:hAnsi="Times New Roman" w:cs="Times New Roman"/>
                <w:snapToGrid w:val="0"/>
                <w:color w:val="000000"/>
                <w:lang w:val="en-US" w:eastAsia="zh-CN" w:bidi="ar"/>
              </w:rPr>
              <w:t>00</w:t>
            </w:r>
          </w:p>
        </w:tc>
      </w:tr>
      <w:tr w14:paraId="6C376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95A6C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47D22">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 xml:space="preserve">华统集团有限公司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1D2F3">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eastAsia" w:ascii="Times New Roman" w:hAnsi="Times New Roman" w:eastAsia="宋体" w:cs="Times New Roman"/>
                <w:i w:val="0"/>
                <w:iCs w:val="0"/>
                <w:snapToGrid w:val="0"/>
                <w:color w:val="000000"/>
                <w:kern w:val="0"/>
                <w:sz w:val="20"/>
                <w:szCs w:val="20"/>
                <w:u w:val="none"/>
                <w:lang w:val="en-US" w:eastAsia="zh-CN" w:bidi="ar"/>
              </w:rPr>
              <w:t>9884.56</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FD3E8">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7A98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Style w:val="13"/>
                <w:rFonts w:hint="default" w:ascii="Times New Roman" w:hAnsi="Times New Roman" w:cs="Times New Roman"/>
                <w:snapToGrid w:val="0"/>
                <w:color w:val="auto"/>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F94F5CC">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Style w:val="13"/>
                <w:rFonts w:hint="default" w:ascii="Times New Roman" w:hAnsi="Times New Roman" w:cs="Times New Roman"/>
                <w:snapToGrid w:val="0"/>
                <w:color w:val="000000"/>
                <w:lang w:val="en-US" w:eastAsia="zh-CN" w:bidi="ar"/>
              </w:rPr>
              <w:t>质押3800</w:t>
            </w:r>
          </w:p>
        </w:tc>
      </w:tr>
      <w:tr w14:paraId="02466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8F6829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6</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14942">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浙江港派服饰有限公司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6E994">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4121.53</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4E835">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2.</w:t>
            </w:r>
            <w:r>
              <w:rPr>
                <w:rFonts w:hint="eastAsia" w:ascii="Times New Roman" w:hAnsi="Times New Roman" w:eastAsia="宋体" w:cs="Times New Roman"/>
                <w:i w:val="0"/>
                <w:iCs w:val="0"/>
                <w:snapToGrid w:val="0"/>
                <w:color w:val="000000"/>
                <w:kern w:val="0"/>
                <w:sz w:val="20"/>
                <w:szCs w:val="20"/>
                <w:u w:val="none"/>
                <w:lang w:val="en-US" w:eastAsia="zh-CN" w:bidi="ar"/>
              </w:rPr>
              <w:t>08</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77F2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Style w:val="13"/>
                <w:rFonts w:hint="default" w:ascii="Times New Roman" w:hAnsi="Times New Roman" w:cs="Times New Roman"/>
                <w:snapToGrid w:val="0"/>
                <w:color w:val="auto"/>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B36DE65">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lang w:val="en-US"/>
              </w:rPr>
            </w:pPr>
            <w:r>
              <w:rPr>
                <w:rStyle w:val="13"/>
                <w:rFonts w:hint="default" w:ascii="Times New Roman" w:hAnsi="Times New Roman" w:cs="Times New Roman"/>
                <w:snapToGrid w:val="0"/>
                <w:color w:val="000000"/>
                <w:lang w:val="en-US" w:eastAsia="zh-CN" w:bidi="ar"/>
              </w:rPr>
              <w:t>无</w:t>
            </w:r>
          </w:p>
        </w:tc>
      </w:tr>
      <w:tr w14:paraId="7D7B0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E484D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7</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5DD9E">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浙江和信投资管理有限公司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CBDC0">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3743.88</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F9FB6">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eastAsia" w:ascii="Times New Roman" w:hAnsi="Times New Roman" w:eastAsia="宋体" w:cs="Times New Roman"/>
                <w:i w:val="0"/>
                <w:iCs w:val="0"/>
                <w:snapToGrid w:val="0"/>
                <w:color w:val="000000"/>
                <w:kern w:val="0"/>
                <w:sz w:val="20"/>
                <w:szCs w:val="20"/>
                <w:u w:val="none"/>
                <w:lang w:val="en-US" w:eastAsia="zh-CN" w:bidi="ar"/>
              </w:rPr>
              <w:t>1.89</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4642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Style w:val="13"/>
                <w:rFonts w:hint="default" w:ascii="Times New Roman" w:hAnsi="Times New Roman" w:cs="Times New Roman"/>
                <w:snapToGrid w:val="0"/>
                <w:color w:val="auto"/>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3078664">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Style w:val="13"/>
                <w:rFonts w:hint="default" w:ascii="Times New Roman" w:hAnsi="Times New Roman" w:cs="Times New Roman"/>
                <w:snapToGrid w:val="0"/>
                <w:color w:val="000000"/>
                <w:lang w:val="en-US" w:eastAsia="zh-CN" w:bidi="ar"/>
              </w:rPr>
              <w:t>无</w:t>
            </w:r>
          </w:p>
        </w:tc>
      </w:tr>
      <w:tr w14:paraId="6DDAD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3EB7D1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8</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6D6E3">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义乌市骁马针织有限公司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A1DB3">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1122.40</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B7231">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0.57</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8E4D9">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Style w:val="13"/>
                <w:rFonts w:hint="default" w:ascii="Times New Roman" w:hAnsi="Times New Roman" w:cs="Times New Roman"/>
                <w:snapToGrid w:val="0"/>
                <w:color w:val="000000"/>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42FB372">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Style w:val="13"/>
                <w:rFonts w:hint="eastAsia" w:ascii="Times New Roman" w:hAnsi="Times New Roman" w:cs="Times New Roman"/>
                <w:snapToGrid w:val="0"/>
                <w:color w:val="000000"/>
                <w:lang w:val="en-US" w:eastAsia="zh-CN" w:bidi="ar"/>
              </w:rPr>
              <w:t>质押550</w:t>
            </w:r>
          </w:p>
        </w:tc>
      </w:tr>
      <w:tr w14:paraId="50521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6CF75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9</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69EE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浙江年年红实业有限公司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8EA07">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749.77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741F1">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0.38</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D921D">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Style w:val="13"/>
                <w:rFonts w:hint="default" w:ascii="Times New Roman" w:hAnsi="Times New Roman" w:cs="Times New Roman"/>
                <w:snapToGrid w:val="0"/>
                <w:color w:val="000000"/>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2ECA3F2">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Style w:val="13"/>
                <w:rFonts w:hint="default" w:ascii="Times New Roman" w:hAnsi="Times New Roman" w:cs="Times New Roman"/>
                <w:snapToGrid w:val="0"/>
                <w:color w:val="000000"/>
                <w:lang w:val="en-US" w:eastAsia="zh-CN" w:bidi="ar"/>
              </w:rPr>
              <w:t>无</w:t>
            </w:r>
          </w:p>
        </w:tc>
      </w:tr>
      <w:tr w14:paraId="72A03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653D4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snapToGrid w:val="0"/>
                <w:color w:val="000000"/>
                <w:kern w:val="0"/>
                <w:sz w:val="20"/>
                <w:szCs w:val="20"/>
                <w:u w:val="none"/>
                <w:lang w:val="en-US" w:eastAsia="zh-CN" w:bidi="ar"/>
              </w:rPr>
              <w:t>9</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7F0F4">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浙江浩翔光电科技有限公司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D9634">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749.77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FC967">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0.38</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773D8">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Style w:val="13"/>
                <w:rFonts w:hint="default" w:ascii="Times New Roman" w:hAnsi="Times New Roman" w:cs="Times New Roman"/>
                <w:snapToGrid w:val="0"/>
                <w:color w:val="000000"/>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17BCA15">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Style w:val="13"/>
                <w:rFonts w:hint="default" w:ascii="Times New Roman" w:hAnsi="Times New Roman" w:cs="Times New Roman"/>
                <w:snapToGrid w:val="0"/>
                <w:color w:val="000000"/>
                <w:lang w:val="en-US" w:eastAsia="zh-CN" w:bidi="ar"/>
              </w:rPr>
              <w:t>无</w:t>
            </w:r>
          </w:p>
        </w:tc>
      </w:tr>
      <w:tr w14:paraId="51795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F3314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9</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2E54E">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义乌市大名文化日用品有限公司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41FAF">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lang w:val="en-US"/>
              </w:rPr>
            </w:pPr>
            <w:r>
              <w:rPr>
                <w:rFonts w:hint="eastAsia" w:ascii="Times New Roman" w:hAnsi="Times New Roman" w:eastAsia="宋体" w:cs="Times New Roman"/>
                <w:i w:val="0"/>
                <w:iCs w:val="0"/>
                <w:color w:val="000000"/>
                <w:sz w:val="20"/>
                <w:szCs w:val="20"/>
                <w:u w:val="none"/>
                <w:lang w:val="en-US" w:eastAsia="zh-CN"/>
              </w:rPr>
              <w:t>749.77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EF450">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eastAsia" w:ascii="Times New Roman" w:hAnsi="Times New Roman" w:eastAsia="宋体" w:cs="Times New Roman"/>
                <w:i w:val="0"/>
                <w:iCs w:val="0"/>
                <w:color w:val="000000"/>
                <w:sz w:val="20"/>
                <w:szCs w:val="20"/>
                <w:u w:val="none"/>
                <w:lang w:val="en-US" w:eastAsia="zh-CN"/>
              </w:rPr>
              <w:t>0.38</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133F9">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Style w:val="13"/>
                <w:rFonts w:hint="default" w:ascii="Times New Roman" w:hAnsi="Times New Roman" w:cs="Times New Roman"/>
                <w:snapToGrid w:val="0"/>
                <w:color w:val="000000"/>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CD37D81">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Style w:val="13"/>
                <w:rFonts w:hint="default" w:ascii="Times New Roman" w:hAnsi="Times New Roman" w:cs="Times New Roman"/>
                <w:snapToGrid w:val="0"/>
                <w:color w:val="000000"/>
                <w:lang w:val="en-US" w:eastAsia="zh-CN" w:bidi="ar"/>
              </w:rPr>
              <w:t>无</w:t>
            </w:r>
          </w:p>
        </w:tc>
      </w:tr>
      <w:tr w14:paraId="728A8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F6DFAAB">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9</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19CF4">
            <w:pPr>
              <w:keepNext w:val="0"/>
              <w:keepLines w:val="0"/>
              <w:widowControl/>
              <w:suppressLineNumbers w:val="0"/>
              <w:jc w:val="left"/>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default" w:ascii="Times New Roman" w:hAnsi="Times New Roman" w:eastAsia="宋体" w:cs="Times New Roman"/>
                <w:i w:val="0"/>
                <w:iCs w:val="0"/>
                <w:color w:val="000000"/>
                <w:sz w:val="20"/>
                <w:szCs w:val="20"/>
                <w:u w:val="none"/>
              </w:rPr>
              <w:t>浙江邦源新材料有限公司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49580">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u w:val="none"/>
                <w:lang w:val="en-US" w:eastAsia="zh-CN" w:bidi="ar-SA"/>
              </w:rPr>
            </w:pPr>
            <w:r>
              <w:rPr>
                <w:rFonts w:hint="eastAsia" w:ascii="Times New Roman" w:hAnsi="Times New Roman" w:eastAsia="宋体" w:cs="Times New Roman"/>
                <w:i w:val="0"/>
                <w:iCs w:val="0"/>
                <w:color w:val="000000"/>
                <w:sz w:val="20"/>
                <w:szCs w:val="20"/>
                <w:u w:val="none"/>
                <w:lang w:val="en-US" w:eastAsia="zh-CN"/>
              </w:rPr>
              <w:t>749.77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1428E">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eastAsia" w:ascii="Times New Roman" w:hAnsi="Times New Roman" w:eastAsia="宋体" w:cs="Times New Roman"/>
                <w:i w:val="0"/>
                <w:iCs w:val="0"/>
                <w:color w:val="000000"/>
                <w:sz w:val="20"/>
                <w:szCs w:val="20"/>
                <w:u w:val="none"/>
                <w:lang w:val="en-US" w:eastAsia="zh-CN"/>
              </w:rPr>
              <w:t>0.38</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B95FE">
            <w:pPr>
              <w:keepNext w:val="0"/>
              <w:keepLines w:val="0"/>
              <w:widowControl/>
              <w:suppressLineNumbers w:val="0"/>
              <w:jc w:val="center"/>
              <w:textAlignment w:val="center"/>
              <w:rPr>
                <w:rFonts w:hint="default" w:ascii="Times New Roman" w:hAnsi="Times New Roman" w:eastAsia="宋体" w:cs="Times New Roman"/>
                <w:snapToGrid w:val="0"/>
                <w:color w:val="000000"/>
                <w:kern w:val="0"/>
                <w:sz w:val="20"/>
                <w:szCs w:val="20"/>
                <w:u w:val="none"/>
                <w:lang w:val="en-US" w:eastAsia="zh-CN" w:bidi="ar"/>
              </w:rPr>
            </w:pPr>
            <w:r>
              <w:rPr>
                <w:rStyle w:val="13"/>
                <w:rFonts w:hint="default" w:ascii="Times New Roman" w:hAnsi="Times New Roman" w:cs="Times New Roman"/>
                <w:snapToGrid w:val="0"/>
                <w:color w:val="000000"/>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7A4C53E">
            <w:pPr>
              <w:keepNext w:val="0"/>
              <w:keepLines w:val="0"/>
              <w:widowControl/>
              <w:suppressLineNumbers w:val="0"/>
              <w:jc w:val="center"/>
              <w:textAlignment w:val="center"/>
              <w:rPr>
                <w:rFonts w:hint="default" w:ascii="Times New Roman" w:hAnsi="Times New Roman" w:eastAsia="宋体" w:cs="Times New Roman"/>
                <w:snapToGrid w:val="0"/>
                <w:color w:val="000000"/>
                <w:kern w:val="0"/>
                <w:sz w:val="20"/>
                <w:szCs w:val="20"/>
                <w:u w:val="none"/>
                <w:lang w:val="en-US" w:eastAsia="zh-CN" w:bidi="ar"/>
              </w:rPr>
            </w:pPr>
            <w:r>
              <w:rPr>
                <w:rStyle w:val="13"/>
                <w:rFonts w:hint="eastAsia" w:ascii="Times New Roman" w:hAnsi="Times New Roman" w:cs="Times New Roman"/>
                <w:snapToGrid w:val="0"/>
                <w:color w:val="000000"/>
                <w:lang w:val="en-US" w:eastAsia="zh-CN" w:bidi="ar"/>
              </w:rPr>
              <w:t>质押590.1349</w:t>
            </w:r>
          </w:p>
        </w:tc>
      </w:tr>
      <w:tr w14:paraId="3446A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DB27990">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13</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2036E">
            <w:pPr>
              <w:keepNext w:val="0"/>
              <w:keepLines w:val="0"/>
              <w:widowControl/>
              <w:suppressLineNumbers w:val="0"/>
              <w:jc w:val="left"/>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default" w:ascii="Times New Roman" w:hAnsi="Times New Roman" w:eastAsia="宋体" w:cs="Times New Roman"/>
                <w:i w:val="0"/>
                <w:iCs w:val="0"/>
                <w:color w:val="000000"/>
                <w:sz w:val="20"/>
                <w:szCs w:val="20"/>
                <w:u w:val="none"/>
              </w:rPr>
              <w:t>义乌市金鑫实业有限公司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30843">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u w:val="none"/>
                <w:lang w:val="en-US" w:eastAsia="zh-CN" w:bidi="ar-SA"/>
              </w:rPr>
            </w:pPr>
            <w:r>
              <w:rPr>
                <w:rFonts w:hint="eastAsia" w:ascii="Times New Roman" w:hAnsi="Times New Roman" w:eastAsia="宋体" w:cs="Times New Roman"/>
                <w:i w:val="0"/>
                <w:iCs w:val="0"/>
                <w:color w:val="000000"/>
                <w:sz w:val="20"/>
                <w:szCs w:val="20"/>
                <w:u w:val="none"/>
                <w:lang w:val="en-US" w:eastAsia="zh-CN"/>
              </w:rPr>
              <w:t>747.52</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972F3">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eastAsia" w:ascii="Times New Roman" w:hAnsi="Times New Roman" w:eastAsia="宋体" w:cs="Times New Roman"/>
                <w:i w:val="0"/>
                <w:iCs w:val="0"/>
                <w:color w:val="000000"/>
                <w:sz w:val="20"/>
                <w:szCs w:val="20"/>
                <w:u w:val="none"/>
                <w:lang w:val="en-US" w:eastAsia="zh-CN"/>
              </w:rPr>
              <w:t>0.38</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BF2D8">
            <w:pPr>
              <w:keepNext w:val="0"/>
              <w:keepLines w:val="0"/>
              <w:widowControl/>
              <w:suppressLineNumbers w:val="0"/>
              <w:jc w:val="center"/>
              <w:textAlignment w:val="center"/>
              <w:rPr>
                <w:rFonts w:hint="default" w:ascii="Times New Roman" w:hAnsi="Times New Roman" w:eastAsia="宋体" w:cs="Times New Roman"/>
                <w:snapToGrid w:val="0"/>
                <w:color w:val="000000"/>
                <w:kern w:val="0"/>
                <w:sz w:val="20"/>
                <w:szCs w:val="20"/>
                <w:u w:val="none"/>
                <w:lang w:val="en-US" w:eastAsia="zh-CN" w:bidi="ar"/>
              </w:rPr>
            </w:pPr>
            <w:r>
              <w:rPr>
                <w:rStyle w:val="13"/>
                <w:rFonts w:hint="default" w:ascii="Times New Roman" w:hAnsi="Times New Roman" w:cs="Times New Roman"/>
                <w:snapToGrid w:val="0"/>
                <w:color w:val="000000"/>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AA3A944">
            <w:pPr>
              <w:keepNext w:val="0"/>
              <w:keepLines w:val="0"/>
              <w:widowControl/>
              <w:suppressLineNumbers w:val="0"/>
              <w:jc w:val="center"/>
              <w:textAlignment w:val="center"/>
              <w:rPr>
                <w:rFonts w:hint="default" w:ascii="Times New Roman" w:hAnsi="Times New Roman" w:eastAsia="宋体" w:cs="Times New Roman"/>
                <w:snapToGrid w:val="0"/>
                <w:color w:val="000000"/>
                <w:kern w:val="0"/>
                <w:sz w:val="20"/>
                <w:szCs w:val="20"/>
                <w:u w:val="none"/>
                <w:lang w:val="en-US" w:eastAsia="zh-CN" w:bidi="ar"/>
              </w:rPr>
            </w:pPr>
            <w:r>
              <w:rPr>
                <w:rStyle w:val="13"/>
                <w:rFonts w:hint="default" w:ascii="Times New Roman" w:hAnsi="Times New Roman" w:cs="Times New Roman"/>
                <w:snapToGrid w:val="0"/>
                <w:color w:val="000000"/>
                <w:lang w:val="en-US" w:eastAsia="zh-CN" w:bidi="ar"/>
              </w:rPr>
              <w:t>无</w:t>
            </w:r>
          </w:p>
        </w:tc>
      </w:tr>
      <w:tr w14:paraId="500AA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8" w:space="0"/>
              <w:right w:val="single" w:color="000000" w:sz="4" w:space="0"/>
            </w:tcBorders>
            <w:shd w:val="clear" w:color="auto" w:fill="auto"/>
            <w:vAlign w:val="center"/>
          </w:tcPr>
          <w:p w14:paraId="551F30FF">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13</w:t>
            </w:r>
          </w:p>
        </w:tc>
        <w:tc>
          <w:tcPr>
            <w:tcW w:w="2837"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9839F04">
            <w:pPr>
              <w:keepNext w:val="0"/>
              <w:keepLines w:val="0"/>
              <w:widowControl/>
              <w:suppressLineNumbers w:val="0"/>
              <w:jc w:val="left"/>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default" w:ascii="Times New Roman" w:hAnsi="Times New Roman" w:eastAsia="宋体" w:cs="Times New Roman"/>
                <w:i w:val="0"/>
                <w:iCs w:val="0"/>
                <w:color w:val="000000"/>
                <w:sz w:val="20"/>
                <w:szCs w:val="20"/>
                <w:u w:val="none"/>
              </w:rPr>
              <w:t>义乌市正华实业有限公司</w:t>
            </w:r>
          </w:p>
        </w:tc>
        <w:tc>
          <w:tcPr>
            <w:tcW w:w="126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4D8B1FEF">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u w:val="none"/>
                <w:lang w:val="en-US" w:eastAsia="zh-CN" w:bidi="ar-SA"/>
              </w:rPr>
            </w:pPr>
            <w:r>
              <w:rPr>
                <w:rFonts w:hint="eastAsia" w:ascii="Times New Roman" w:hAnsi="Times New Roman" w:eastAsia="宋体" w:cs="Times New Roman"/>
                <w:i w:val="0"/>
                <w:iCs w:val="0"/>
                <w:color w:val="000000"/>
                <w:sz w:val="20"/>
                <w:szCs w:val="20"/>
                <w:u w:val="none"/>
                <w:lang w:val="en-US" w:eastAsia="zh-CN"/>
              </w:rPr>
              <w:t>747.52</w:t>
            </w:r>
          </w:p>
        </w:tc>
        <w:tc>
          <w:tcPr>
            <w:tcW w:w="117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02F33A46">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SA"/>
              </w:rPr>
            </w:pPr>
            <w:r>
              <w:rPr>
                <w:rFonts w:hint="eastAsia" w:ascii="Times New Roman" w:hAnsi="Times New Roman" w:eastAsia="宋体" w:cs="Times New Roman"/>
                <w:i w:val="0"/>
                <w:iCs w:val="0"/>
                <w:color w:val="000000"/>
                <w:sz w:val="20"/>
                <w:szCs w:val="20"/>
                <w:u w:val="none"/>
                <w:lang w:val="en-US" w:eastAsia="zh-CN"/>
              </w:rPr>
              <w:t>0.38</w:t>
            </w:r>
          </w:p>
        </w:tc>
        <w:tc>
          <w:tcPr>
            <w:tcW w:w="139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1F9D93F9">
            <w:pPr>
              <w:keepNext w:val="0"/>
              <w:keepLines w:val="0"/>
              <w:widowControl/>
              <w:suppressLineNumbers w:val="0"/>
              <w:jc w:val="center"/>
              <w:textAlignment w:val="center"/>
              <w:rPr>
                <w:rFonts w:hint="default" w:ascii="Times New Roman" w:hAnsi="Times New Roman" w:eastAsia="宋体" w:cs="Times New Roman"/>
                <w:snapToGrid w:val="0"/>
                <w:color w:val="000000"/>
                <w:kern w:val="0"/>
                <w:sz w:val="20"/>
                <w:szCs w:val="20"/>
                <w:u w:val="none"/>
                <w:lang w:val="en-US" w:eastAsia="zh-CN" w:bidi="ar"/>
              </w:rPr>
            </w:pPr>
            <w:r>
              <w:rPr>
                <w:rStyle w:val="13"/>
                <w:rFonts w:hint="default" w:ascii="Times New Roman" w:hAnsi="Times New Roman" w:cs="Times New Roman"/>
                <w:snapToGrid w:val="0"/>
                <w:color w:val="000000"/>
                <w:lang w:val="en-US" w:eastAsia="zh-CN" w:bidi="ar"/>
              </w:rPr>
              <w:t>—</w:t>
            </w:r>
          </w:p>
        </w:tc>
        <w:tc>
          <w:tcPr>
            <w:tcW w:w="1578" w:type="dxa"/>
            <w:tcBorders>
              <w:top w:val="single" w:color="000000" w:sz="4" w:space="0"/>
              <w:left w:val="single" w:color="000000" w:sz="4" w:space="0"/>
              <w:bottom w:val="single" w:color="000000" w:sz="8" w:space="0"/>
              <w:right w:val="single" w:color="000000" w:sz="8" w:space="0"/>
            </w:tcBorders>
            <w:shd w:val="clear" w:color="auto" w:fill="auto"/>
            <w:vAlign w:val="center"/>
          </w:tcPr>
          <w:p w14:paraId="1E7628F2">
            <w:pPr>
              <w:keepNext w:val="0"/>
              <w:keepLines w:val="0"/>
              <w:widowControl/>
              <w:suppressLineNumbers w:val="0"/>
              <w:jc w:val="center"/>
              <w:textAlignment w:val="center"/>
              <w:rPr>
                <w:rFonts w:hint="default" w:ascii="Times New Roman" w:hAnsi="Times New Roman" w:eastAsia="宋体" w:cs="Times New Roman"/>
                <w:snapToGrid w:val="0"/>
                <w:color w:val="000000"/>
                <w:kern w:val="0"/>
                <w:sz w:val="20"/>
                <w:szCs w:val="20"/>
                <w:u w:val="none"/>
                <w:lang w:val="en-US" w:eastAsia="zh-CN" w:bidi="ar"/>
              </w:rPr>
            </w:pPr>
            <w:r>
              <w:rPr>
                <w:rStyle w:val="13"/>
                <w:rFonts w:hint="default" w:ascii="Times New Roman" w:hAnsi="Times New Roman" w:cs="Times New Roman"/>
                <w:snapToGrid w:val="0"/>
                <w:color w:val="000000"/>
                <w:lang w:val="en-US" w:eastAsia="zh-CN" w:bidi="ar"/>
              </w:rPr>
              <w:t>无</w:t>
            </w:r>
          </w:p>
        </w:tc>
      </w:tr>
    </w:tbl>
    <w:p w14:paraId="04500920">
      <w:pPr>
        <w:spacing w:line="63" w:lineRule="auto"/>
        <w:rPr>
          <w:rFonts w:ascii="Arial"/>
          <w:sz w:val="2"/>
        </w:rPr>
      </w:pPr>
    </w:p>
    <w:p w14:paraId="18E2E6B4">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60" w:firstLineChars="200"/>
        <w:textAlignment w:val="baseline"/>
        <w:rPr>
          <w:rFonts w:hint="default" w:ascii="楷体_GB2312" w:hAnsi="楷体_GB2312" w:eastAsia="楷体_GB2312" w:cs="楷体_GB2312"/>
          <w:b w:val="0"/>
          <w:bCs w:val="0"/>
          <w:spacing w:val="5"/>
          <w:sz w:val="32"/>
          <w:szCs w:val="32"/>
        </w:rPr>
      </w:pPr>
      <w:r>
        <w:rPr>
          <w:rFonts w:hint="default" w:ascii="楷体_GB2312" w:hAnsi="楷体_GB2312" w:eastAsia="楷体_GB2312" w:cs="楷体_GB2312"/>
          <w:b w:val="0"/>
          <w:bCs w:val="0"/>
          <w:spacing w:val="5"/>
          <w:sz w:val="32"/>
          <w:szCs w:val="32"/>
        </w:rPr>
        <w:t>（三）报告期末主要股东情况</w:t>
      </w:r>
    </w:p>
    <w:p w14:paraId="70344F7C">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95" w:firstLineChars="200"/>
        <w:textAlignment w:val="baseline"/>
        <w:outlineLvl w:val="1"/>
        <w:rPr>
          <w:rFonts w:hint="default" w:ascii="Times New Roman" w:hAnsi="Times New Roman" w:eastAsia="仿宋_GB2312" w:cs="Times New Roman"/>
          <w:b/>
          <w:bCs/>
          <w:spacing w:val="13"/>
          <w:sz w:val="32"/>
          <w:szCs w:val="32"/>
        </w:rPr>
      </w:pPr>
      <w:r>
        <w:rPr>
          <w:rFonts w:hint="default" w:ascii="Times New Roman" w:hAnsi="Times New Roman" w:eastAsia="仿宋_GB2312" w:cs="Times New Roman"/>
          <w:b/>
          <w:bCs/>
          <w:spacing w:val="13"/>
          <w:sz w:val="32"/>
          <w:szCs w:val="32"/>
        </w:rPr>
        <w:t>1.持股情况</w:t>
      </w:r>
    </w:p>
    <w:p w14:paraId="7561F708">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92" w:firstLineChars="200"/>
        <w:textAlignment w:val="baseline"/>
        <w:rPr>
          <w:rFonts w:hint="default" w:ascii="Times New Roman" w:hAnsi="Times New Roman" w:eastAsia="仿宋_GB2312" w:cs="Times New Roman"/>
          <w:snapToGrid w:val="0"/>
          <w:color w:val="auto"/>
          <w:spacing w:val="13"/>
          <w:kern w:val="0"/>
          <w:sz w:val="32"/>
          <w:szCs w:val="32"/>
          <w:lang w:val="en-US" w:eastAsia="zh-CN" w:bidi="ar-SA"/>
        </w:rPr>
      </w:pPr>
      <w:r>
        <w:rPr>
          <w:rFonts w:hint="default" w:ascii="Times New Roman" w:hAnsi="Times New Roman" w:eastAsia="仿宋_GB2312" w:cs="Times New Roman"/>
          <w:snapToGrid w:val="0"/>
          <w:color w:val="auto"/>
          <w:spacing w:val="13"/>
          <w:kern w:val="0"/>
          <w:sz w:val="32"/>
          <w:szCs w:val="32"/>
          <w:lang w:val="en-US" w:eastAsia="zh-CN" w:bidi="ar-SA"/>
        </w:rPr>
        <w:t>报告期末，本行共有主要股东 1</w:t>
      </w:r>
      <w:r>
        <w:rPr>
          <w:rFonts w:hint="eastAsia" w:ascii="Times New Roman" w:hAnsi="Times New Roman" w:eastAsia="仿宋_GB2312" w:cs="Times New Roman"/>
          <w:snapToGrid w:val="0"/>
          <w:color w:val="auto"/>
          <w:spacing w:val="13"/>
          <w:kern w:val="0"/>
          <w:sz w:val="32"/>
          <w:szCs w:val="32"/>
          <w:lang w:val="en-US" w:eastAsia="zh-CN" w:bidi="ar-SA"/>
        </w:rPr>
        <w:t>3</w:t>
      </w:r>
      <w:r>
        <w:rPr>
          <w:rFonts w:hint="default" w:ascii="Times New Roman" w:hAnsi="Times New Roman" w:eastAsia="仿宋_GB2312" w:cs="Times New Roman"/>
          <w:snapToGrid w:val="0"/>
          <w:color w:val="auto"/>
          <w:spacing w:val="13"/>
          <w:kern w:val="0"/>
          <w:sz w:val="32"/>
          <w:szCs w:val="32"/>
          <w:lang w:val="en-US" w:eastAsia="zh-CN" w:bidi="ar-SA"/>
        </w:rPr>
        <w:t xml:space="preserve">户，其中企业法人主要股东 </w:t>
      </w:r>
      <w:r>
        <w:rPr>
          <w:rFonts w:hint="eastAsia" w:ascii="Times New Roman" w:hAnsi="Times New Roman" w:eastAsia="仿宋_GB2312" w:cs="Times New Roman"/>
          <w:snapToGrid w:val="0"/>
          <w:color w:val="auto"/>
          <w:spacing w:val="13"/>
          <w:kern w:val="0"/>
          <w:sz w:val="32"/>
          <w:szCs w:val="32"/>
          <w:lang w:val="en-US" w:eastAsia="zh-CN" w:bidi="ar-SA"/>
        </w:rPr>
        <w:t>6</w:t>
      </w:r>
      <w:r>
        <w:rPr>
          <w:rFonts w:hint="default" w:ascii="Times New Roman" w:hAnsi="Times New Roman" w:eastAsia="仿宋_GB2312" w:cs="Times New Roman"/>
          <w:snapToGrid w:val="0"/>
          <w:color w:val="auto"/>
          <w:spacing w:val="13"/>
          <w:kern w:val="0"/>
          <w:sz w:val="32"/>
          <w:szCs w:val="32"/>
          <w:lang w:val="en-US" w:eastAsia="zh-CN" w:bidi="ar-SA"/>
        </w:rPr>
        <w:t xml:space="preserve"> 户，自然人主要股东</w:t>
      </w:r>
      <w:r>
        <w:rPr>
          <w:rFonts w:hint="eastAsia" w:ascii="Times New Roman" w:hAnsi="Times New Roman" w:eastAsia="仿宋_GB2312" w:cs="Times New Roman"/>
          <w:snapToGrid w:val="0"/>
          <w:color w:val="auto"/>
          <w:spacing w:val="13"/>
          <w:kern w:val="0"/>
          <w:sz w:val="32"/>
          <w:szCs w:val="32"/>
          <w:lang w:val="en-US" w:eastAsia="zh-CN" w:bidi="ar-SA"/>
        </w:rPr>
        <w:t>7</w:t>
      </w:r>
      <w:r>
        <w:rPr>
          <w:rFonts w:hint="default" w:ascii="Times New Roman" w:hAnsi="Times New Roman" w:eastAsia="仿宋_GB2312" w:cs="Times New Roman"/>
          <w:snapToGrid w:val="0"/>
          <w:color w:val="auto"/>
          <w:spacing w:val="13"/>
          <w:kern w:val="0"/>
          <w:sz w:val="32"/>
          <w:szCs w:val="32"/>
          <w:lang w:val="en-US" w:eastAsia="zh-CN" w:bidi="ar-SA"/>
        </w:rPr>
        <w:t>户，持股情况如下：</w:t>
      </w:r>
    </w:p>
    <w:tbl>
      <w:tblPr>
        <w:tblStyle w:val="6"/>
        <w:tblW w:w="89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90"/>
        <w:gridCol w:w="1800"/>
        <w:gridCol w:w="1185"/>
        <w:gridCol w:w="2100"/>
        <w:gridCol w:w="2000"/>
      </w:tblGrid>
      <w:tr w14:paraId="31369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890" w:type="dxa"/>
            <w:tcBorders>
              <w:top w:val="single" w:color="000000" w:sz="8" w:space="0"/>
              <w:left w:val="single" w:color="000000" w:sz="8" w:space="0"/>
              <w:bottom w:val="single" w:color="000000" w:sz="4" w:space="0"/>
              <w:right w:val="single" w:color="000000" w:sz="4" w:space="0"/>
            </w:tcBorders>
            <w:shd w:val="clear" w:color="auto" w:fill="0070C0"/>
            <w:vAlign w:val="center"/>
          </w:tcPr>
          <w:p w14:paraId="56B23CB6">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股东名称</w:t>
            </w:r>
          </w:p>
        </w:tc>
        <w:tc>
          <w:tcPr>
            <w:tcW w:w="1800"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6CA2D8FA">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与本行关联关系</w:t>
            </w:r>
          </w:p>
        </w:tc>
        <w:tc>
          <w:tcPr>
            <w:tcW w:w="1185"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54C21DA6">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股权余额（万股）</w:t>
            </w:r>
          </w:p>
        </w:tc>
        <w:tc>
          <w:tcPr>
            <w:tcW w:w="2100"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7E2D39D2">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关联方、一致行动人股权余额（万股）</w:t>
            </w:r>
          </w:p>
        </w:tc>
        <w:tc>
          <w:tcPr>
            <w:tcW w:w="2000" w:type="dxa"/>
            <w:tcBorders>
              <w:top w:val="single" w:color="000000" w:sz="8" w:space="0"/>
              <w:left w:val="single" w:color="000000" w:sz="4" w:space="0"/>
              <w:bottom w:val="single" w:color="000000" w:sz="4" w:space="0"/>
              <w:right w:val="single" w:color="000000" w:sz="8" w:space="0"/>
            </w:tcBorders>
            <w:shd w:val="clear" w:color="auto" w:fill="0070C0"/>
            <w:vAlign w:val="center"/>
          </w:tcPr>
          <w:p w14:paraId="45B5E086">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合计持股比例</w:t>
            </w:r>
          </w:p>
        </w:tc>
      </w:tr>
      <w:tr w14:paraId="57078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9857D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金绣集团有限公司</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511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派驻董事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C855A">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eastAsia" w:ascii="Times New Roman" w:hAnsi="Times New Roman" w:eastAsia="宋体" w:cs="Times New Roman"/>
                <w:i w:val="0"/>
                <w:iCs w:val="0"/>
                <w:snapToGrid w:val="0"/>
                <w:color w:val="000000"/>
                <w:kern w:val="0"/>
                <w:sz w:val="20"/>
                <w:szCs w:val="20"/>
                <w:u w:val="none"/>
                <w:lang w:val="en-US" w:eastAsia="zh-CN" w:bidi="ar"/>
              </w:rPr>
              <w:t>9884.56</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85FB6">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80.05</w:t>
            </w: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9131C19">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5.04</w:t>
            </w:r>
          </w:p>
        </w:tc>
      </w:tr>
      <w:tr w14:paraId="0E1CF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AE827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真爱集团有限公司</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BDA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派驻董事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1E440">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eastAsia" w:ascii="Times New Roman" w:hAnsi="Times New Roman" w:eastAsia="宋体" w:cs="Times New Roman"/>
                <w:i w:val="0"/>
                <w:iCs w:val="0"/>
                <w:snapToGrid w:val="0"/>
                <w:color w:val="000000"/>
                <w:kern w:val="0"/>
                <w:sz w:val="20"/>
                <w:szCs w:val="20"/>
                <w:u w:val="none"/>
                <w:lang w:val="en-US" w:eastAsia="zh-CN" w:bidi="ar"/>
              </w:rPr>
              <w:t>9884.56</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CACC9">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none"/>
                <w:u w:val="none"/>
                <w:lang w:val="en-US"/>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31.72</w:t>
            </w: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409EBE0">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5.02</w:t>
            </w:r>
          </w:p>
        </w:tc>
      </w:tr>
      <w:tr w14:paraId="4A665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1BBF9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华统集团有限公司</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280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派驻董事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59BA7">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eastAsia" w:ascii="Times New Roman" w:hAnsi="Times New Roman" w:eastAsia="宋体" w:cs="Times New Roman"/>
                <w:i w:val="0"/>
                <w:iCs w:val="0"/>
                <w:snapToGrid w:val="0"/>
                <w:color w:val="000000"/>
                <w:kern w:val="0"/>
                <w:sz w:val="20"/>
                <w:szCs w:val="20"/>
                <w:u w:val="none"/>
                <w:lang w:val="en-US" w:eastAsia="zh-CN" w:bidi="ar"/>
              </w:rPr>
              <w:t>9884.56</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2AC93">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highlight w:val="yellow"/>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12.89</w:t>
            </w: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E40FFE3">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5.01</w:t>
            </w:r>
          </w:p>
        </w:tc>
      </w:tr>
      <w:tr w14:paraId="11F4F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A85BA13">
            <w:pPr>
              <w:keepNext w:val="0"/>
              <w:keepLines w:val="0"/>
              <w:widowControl/>
              <w:suppressLineNumbers w:val="0"/>
              <w:jc w:val="center"/>
              <w:textAlignment w:val="center"/>
              <w:rPr>
                <w:rFonts w:hint="eastAsia" w:ascii="宋体" w:hAnsi="宋体" w:eastAsia="宋体" w:cs="宋体"/>
                <w:i w:val="0"/>
                <w:iCs w:val="0"/>
                <w:snapToGrid w:val="0"/>
                <w:color w:val="auto"/>
                <w:kern w:val="0"/>
                <w:sz w:val="20"/>
                <w:szCs w:val="20"/>
                <w:u w:val="none"/>
                <w:lang w:val="en-US" w:eastAsia="zh-CN" w:bidi="ar"/>
              </w:rPr>
            </w:pPr>
            <w:r>
              <w:rPr>
                <w:rFonts w:hint="eastAsia" w:ascii="宋体" w:hAnsi="宋体" w:eastAsia="宋体" w:cs="宋体"/>
                <w:i w:val="0"/>
                <w:iCs w:val="0"/>
                <w:snapToGrid w:val="0"/>
                <w:color w:val="auto"/>
                <w:kern w:val="0"/>
                <w:sz w:val="20"/>
                <w:szCs w:val="20"/>
                <w:u w:val="none"/>
                <w:lang w:val="en-US" w:eastAsia="zh-CN" w:bidi="ar"/>
              </w:rPr>
              <w:t>浙江省财开集团</w:t>
            </w:r>
          </w:p>
          <w:p w14:paraId="1D04A74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snapToGrid w:val="0"/>
                <w:color w:val="auto"/>
                <w:kern w:val="0"/>
                <w:sz w:val="20"/>
                <w:szCs w:val="20"/>
                <w:u w:val="none"/>
                <w:lang w:val="en-US" w:eastAsia="zh-CN" w:bidi="ar"/>
              </w:rPr>
              <w:t>有限公司</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E6F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派驻董事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740CE">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eastAsia" w:ascii="Times New Roman" w:hAnsi="Times New Roman" w:eastAsia="宋体" w:cs="Times New Roman"/>
                <w:i w:val="0"/>
                <w:iCs w:val="0"/>
                <w:snapToGrid w:val="0"/>
                <w:color w:val="000000"/>
                <w:kern w:val="0"/>
                <w:sz w:val="20"/>
                <w:szCs w:val="20"/>
                <w:u w:val="none"/>
                <w:lang w:val="en-US" w:eastAsia="zh-CN" w:bidi="ar"/>
              </w:rPr>
              <w:t>9884.56</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EE943">
            <w:pPr>
              <w:jc w:val="center"/>
              <w:rPr>
                <w:rFonts w:hint="default" w:ascii="Times New Roman" w:hAnsi="Times New Roman" w:eastAsia="宋体" w:cs="Times New Roman"/>
                <w:i w:val="0"/>
                <w:iCs w:val="0"/>
                <w:color w:val="FF0000"/>
                <w:sz w:val="20"/>
                <w:szCs w:val="20"/>
                <w:u w:val="none"/>
              </w:rPr>
            </w:pPr>
            <w:r>
              <w:rPr>
                <w:rFonts w:hint="eastAsia" w:ascii="Times New Roman" w:hAnsi="Times New Roman" w:eastAsia="宋体" w:cs="Times New Roman"/>
                <w:i w:val="0"/>
                <w:iCs w:val="0"/>
                <w:color w:val="000000"/>
                <w:sz w:val="20"/>
                <w:szCs w:val="20"/>
                <w:u w:val="none"/>
                <w:lang w:val="en-US" w:eastAsia="zh-CN"/>
              </w:rPr>
              <w:t>0</w:t>
            </w: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F0C4467">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w:t>
            </w:r>
          </w:p>
        </w:tc>
      </w:tr>
      <w:tr w14:paraId="36E6A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1DEBD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义乌市国有资本运营有限公司</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E2AF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派驻董事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A880F">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eastAsia" w:ascii="Times New Roman" w:hAnsi="Times New Roman" w:eastAsia="宋体" w:cs="Times New Roman"/>
                <w:i w:val="0"/>
                <w:iCs w:val="0"/>
                <w:snapToGrid w:val="0"/>
                <w:color w:val="000000"/>
                <w:kern w:val="0"/>
                <w:sz w:val="20"/>
                <w:szCs w:val="20"/>
                <w:u w:val="none"/>
                <w:lang w:val="en-US" w:eastAsia="zh-CN" w:bidi="ar"/>
              </w:rPr>
              <w:t>9884.56</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928EB">
            <w:pPr>
              <w:jc w:val="center"/>
              <w:rPr>
                <w:rFonts w:hint="default" w:ascii="Times New Roman" w:hAnsi="Times New Roman" w:eastAsia="宋体" w:cs="Times New Roman"/>
                <w:i w:val="0"/>
                <w:iCs w:val="0"/>
                <w:color w:val="FF0000"/>
                <w:sz w:val="20"/>
                <w:szCs w:val="20"/>
                <w:u w:val="none"/>
              </w:rPr>
            </w:pPr>
            <w:r>
              <w:rPr>
                <w:rFonts w:hint="eastAsia" w:ascii="Times New Roman" w:hAnsi="Times New Roman" w:eastAsia="宋体" w:cs="Times New Roman"/>
                <w:i w:val="0"/>
                <w:iCs w:val="0"/>
                <w:color w:val="000000"/>
                <w:sz w:val="20"/>
                <w:szCs w:val="20"/>
                <w:u w:val="none"/>
                <w:lang w:val="en-US" w:eastAsia="zh-CN"/>
              </w:rPr>
              <w:t>0</w:t>
            </w: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6AB05FE">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w:t>
            </w:r>
          </w:p>
        </w:tc>
      </w:tr>
      <w:tr w14:paraId="51E26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F8B61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义乌市少林袜业有限公司</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87E6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派驻监事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8968B">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374.88</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F3DBB">
            <w:pPr>
              <w:jc w:val="center"/>
              <w:rPr>
                <w:rFonts w:hint="default" w:ascii="Times New Roman" w:hAnsi="Times New Roman" w:eastAsia="宋体" w:cs="Times New Roman"/>
                <w:i w:val="0"/>
                <w:iCs w:val="0"/>
                <w:color w:val="FF0000"/>
                <w:sz w:val="20"/>
                <w:szCs w:val="20"/>
                <w:u w:val="none"/>
              </w:rPr>
            </w:pPr>
            <w:r>
              <w:rPr>
                <w:rFonts w:hint="eastAsia" w:ascii="Times New Roman" w:hAnsi="Times New Roman" w:eastAsia="宋体" w:cs="Times New Roman"/>
                <w:i w:val="0"/>
                <w:iCs w:val="0"/>
                <w:color w:val="000000"/>
                <w:sz w:val="20"/>
                <w:szCs w:val="20"/>
                <w:u w:val="none"/>
                <w:lang w:val="en-US" w:eastAsia="zh-CN"/>
              </w:rPr>
              <w:t>0</w:t>
            </w: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1254D69">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0.19</w:t>
            </w:r>
          </w:p>
        </w:tc>
      </w:tr>
      <w:tr w14:paraId="3109E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F383B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郑小毛</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D42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非执行董事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FF008">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25.27</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F5617">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eastAsia" w:ascii="Times New Roman" w:hAnsi="Times New Roman" w:eastAsia="宋体" w:cs="Times New Roman"/>
                <w:i w:val="0"/>
                <w:iCs w:val="0"/>
                <w:snapToGrid w:val="0"/>
                <w:color w:val="000000"/>
                <w:kern w:val="0"/>
                <w:sz w:val="20"/>
                <w:szCs w:val="20"/>
                <w:u w:val="none"/>
                <w:lang w:val="en-US" w:eastAsia="zh-CN" w:bidi="ar"/>
              </w:rPr>
              <w:t>374.88</w:t>
            </w:r>
            <w:r>
              <w:rPr>
                <w:rFonts w:hint="default" w:ascii="Times New Roman" w:hAnsi="Times New Roman" w:eastAsia="宋体" w:cs="Times New Roman"/>
                <w:i w:val="0"/>
                <w:iCs w:val="0"/>
                <w:snapToGrid w:val="0"/>
                <w:color w:val="000000"/>
                <w:kern w:val="0"/>
                <w:sz w:val="20"/>
                <w:szCs w:val="20"/>
                <w:u w:val="none"/>
                <w:lang w:val="en-US" w:eastAsia="zh-CN" w:bidi="ar"/>
              </w:rPr>
              <w:t>（天都混凝土关系人）</w:t>
            </w: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625F20F">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0.2</w:t>
            </w:r>
          </w:p>
        </w:tc>
      </w:tr>
      <w:tr w14:paraId="41B39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AE456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金江东</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D5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执行董事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AA2F8">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22.73</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91BBD">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9941.87</w:t>
            </w:r>
            <w:r>
              <w:rPr>
                <w:rFonts w:hint="default" w:ascii="Times New Roman" w:hAnsi="Times New Roman" w:eastAsia="宋体" w:cs="Times New Roman"/>
                <w:i w:val="0"/>
                <w:iCs w:val="0"/>
                <w:snapToGrid w:val="0"/>
                <w:color w:val="000000"/>
                <w:kern w:val="0"/>
                <w:sz w:val="20"/>
                <w:szCs w:val="20"/>
                <w:highlight w:val="none"/>
                <w:u w:val="none"/>
                <w:lang w:val="en-US" w:eastAsia="zh-CN" w:bidi="ar"/>
              </w:rPr>
              <w:t>（金绣集团关系人）</w:t>
            </w: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2492972">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5.04</w:t>
            </w:r>
          </w:p>
        </w:tc>
      </w:tr>
      <w:tr w14:paraId="059C7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0A5FCD1">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snapToGrid w:val="0"/>
                <w:color w:val="000000"/>
                <w:kern w:val="0"/>
                <w:sz w:val="20"/>
                <w:szCs w:val="20"/>
                <w:u w:val="none"/>
                <w:lang w:val="en-US" w:eastAsia="zh-CN" w:bidi="ar"/>
              </w:rPr>
              <w:t>傅照华</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935BB">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snapToGrid w:val="0"/>
                <w:color w:val="000000"/>
                <w:kern w:val="0"/>
                <w:sz w:val="20"/>
                <w:szCs w:val="20"/>
                <w:u w:val="none"/>
                <w:lang w:val="en-US" w:eastAsia="zh-CN" w:bidi="ar"/>
              </w:rPr>
              <w:t>监事长</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C8675">
            <w:pPr>
              <w:keepNext w:val="0"/>
              <w:keepLines w:val="0"/>
              <w:widowControl/>
              <w:suppressLineNumbers w:val="0"/>
              <w:jc w:val="center"/>
              <w:textAlignment w:val="center"/>
              <w:rPr>
                <w:rFonts w:hint="eastAsia" w:ascii="Times New Roman" w:hAnsi="Times New Roman" w:eastAsia="宋体" w:cs="Times New Roman"/>
                <w:i w:val="0"/>
                <w:iCs w:val="0"/>
                <w:snapToGrid w:val="0"/>
                <w:color w:val="FF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102.12</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DA78F">
            <w:pPr>
              <w:keepNext w:val="0"/>
              <w:keepLines w:val="0"/>
              <w:widowControl/>
              <w:suppressLineNumbers w:val="0"/>
              <w:jc w:val="center"/>
              <w:textAlignment w:val="center"/>
              <w:rPr>
                <w:rFonts w:hint="eastAsia" w:ascii="Times New Roman" w:hAnsi="Times New Roman" w:eastAsia="宋体" w:cs="Times New Roman"/>
                <w:i w:val="0"/>
                <w:iCs w:val="0"/>
                <w:snapToGrid w:val="0"/>
                <w:color w:val="FF0000"/>
                <w:kern w:val="0"/>
                <w:sz w:val="20"/>
                <w:szCs w:val="20"/>
                <w:highlight w:val="none"/>
                <w:u w:val="none"/>
                <w:lang w:val="en-US" w:eastAsia="zh-CN" w:bidi="ar"/>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229.34</w:t>
            </w: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96A03C5">
            <w:pPr>
              <w:keepNext w:val="0"/>
              <w:keepLines w:val="0"/>
              <w:widowControl/>
              <w:suppressLineNumbers w:val="0"/>
              <w:jc w:val="center"/>
              <w:textAlignment w:val="center"/>
              <w:rPr>
                <w:rFonts w:hint="default" w:ascii="Times New Roman" w:hAnsi="Times New Roman" w:eastAsia="宋体" w:cs="Times New Roman"/>
                <w:i w:val="0"/>
                <w:iCs w:val="0"/>
                <w:snapToGrid w:val="0"/>
                <w:color w:val="FF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0.17</w:t>
            </w:r>
          </w:p>
        </w:tc>
      </w:tr>
      <w:tr w14:paraId="50ED2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0F7B967">
            <w:pPr>
              <w:keepNext w:val="0"/>
              <w:keepLines w:val="0"/>
              <w:widowControl/>
              <w:suppressLineNumbers w:val="0"/>
              <w:jc w:val="center"/>
              <w:textAlignment w:val="center"/>
              <w:rPr>
                <w:rFonts w:hint="eastAsia" w:ascii="Times New Roman" w:hAnsi="Times New Roman" w:eastAsia="宋体" w:cs="Times New Roman"/>
                <w:i w:val="0"/>
                <w:iCs w:val="0"/>
                <w:color w:val="000000"/>
                <w:sz w:val="20"/>
                <w:szCs w:val="20"/>
                <w:u w:val="none"/>
                <w:lang w:eastAsia="zh-CN"/>
              </w:rPr>
            </w:pPr>
            <w:r>
              <w:rPr>
                <w:rFonts w:hint="eastAsia" w:ascii="Times New Roman" w:hAnsi="Times New Roman" w:eastAsia="宋体" w:cs="Times New Roman"/>
                <w:i w:val="0"/>
                <w:iCs w:val="0"/>
                <w:color w:val="000000"/>
                <w:sz w:val="20"/>
                <w:szCs w:val="20"/>
                <w:u w:val="none"/>
                <w:lang w:eastAsia="zh-CN"/>
              </w:rPr>
              <w:t>葛小平</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FE6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执行董事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9038D">
            <w:pPr>
              <w:keepNext w:val="0"/>
              <w:keepLines w:val="0"/>
              <w:widowControl/>
              <w:suppressLineNumbers w:val="0"/>
              <w:jc w:val="center"/>
              <w:textAlignment w:val="center"/>
              <w:rPr>
                <w:rFonts w:hint="default" w:ascii="Times New Roman" w:hAnsi="Times New Roman" w:eastAsia="宋体" w:cs="Times New Roman"/>
                <w:color w:val="FF0000"/>
                <w:lang w:val="en-US" w:eastAsia="zh-CN"/>
              </w:rPr>
            </w:pPr>
            <w:r>
              <w:rPr>
                <w:rFonts w:hint="eastAsia" w:ascii="Times New Roman" w:hAnsi="Times New Roman" w:eastAsia="宋体" w:cs="Times New Roman"/>
                <w:i w:val="0"/>
                <w:iCs w:val="0"/>
                <w:color w:val="000000"/>
                <w:sz w:val="20"/>
                <w:szCs w:val="20"/>
                <w:u w:val="none"/>
                <w:lang w:val="en-US" w:eastAsia="zh-CN"/>
              </w:rPr>
              <w:t>76.67</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C131E">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lang w:val="en-US" w:eastAsia="zh-CN"/>
              </w:rPr>
            </w:pP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06F0D0C">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eastAsia" w:ascii="Times New Roman" w:hAnsi="Times New Roman" w:eastAsia="宋体" w:cs="Times New Roman"/>
                <w:i w:val="0"/>
                <w:iCs w:val="0"/>
                <w:color w:val="000000"/>
                <w:sz w:val="20"/>
                <w:szCs w:val="20"/>
                <w:u w:val="none"/>
                <w:lang w:val="en-US" w:eastAsia="zh-CN"/>
              </w:rPr>
              <w:t>0.04</w:t>
            </w:r>
          </w:p>
        </w:tc>
      </w:tr>
      <w:tr w14:paraId="2747D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3A5D2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余埴民</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BC1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股东监事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5707E">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25.27</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3B5CA">
            <w:pPr>
              <w:jc w:val="center"/>
              <w:rPr>
                <w:rFonts w:hint="default" w:ascii="Times New Roman" w:hAnsi="Times New Roman" w:eastAsia="宋体" w:cs="Times New Roman"/>
                <w:i w:val="0"/>
                <w:iCs w:val="0"/>
                <w:color w:val="FF0000"/>
                <w:sz w:val="20"/>
                <w:szCs w:val="20"/>
                <w:u w:val="none"/>
              </w:rPr>
            </w:pP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B4C1C7C">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0.01</w:t>
            </w:r>
          </w:p>
        </w:tc>
      </w:tr>
      <w:tr w14:paraId="76B4E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0B9DA6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刘锋</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B3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snapToGrid w:val="0"/>
                <w:color w:val="000000"/>
                <w:kern w:val="0"/>
                <w:sz w:val="20"/>
                <w:szCs w:val="20"/>
                <w:u w:val="none"/>
                <w:lang w:val="en-US" w:eastAsia="zh-CN" w:bidi="ar"/>
              </w:rPr>
              <w:t>执行董事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2E664">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25.27</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13D60">
            <w:pPr>
              <w:jc w:val="center"/>
              <w:rPr>
                <w:rFonts w:hint="default" w:ascii="Times New Roman" w:hAnsi="Times New Roman" w:eastAsia="宋体" w:cs="Times New Roman"/>
                <w:i w:val="0"/>
                <w:iCs w:val="0"/>
                <w:color w:val="FF0000"/>
                <w:sz w:val="20"/>
                <w:szCs w:val="20"/>
                <w:u w:val="none"/>
              </w:rPr>
            </w:pP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0A2C6C0">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0.04</w:t>
            </w:r>
          </w:p>
        </w:tc>
      </w:tr>
      <w:tr w14:paraId="5BAE6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8" w:space="0"/>
              <w:right w:val="single" w:color="000000" w:sz="4" w:space="0"/>
            </w:tcBorders>
            <w:shd w:val="clear" w:color="auto" w:fill="auto"/>
            <w:vAlign w:val="center"/>
          </w:tcPr>
          <w:p w14:paraId="11ED8F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陈国华</w:t>
            </w:r>
          </w:p>
        </w:tc>
        <w:tc>
          <w:tcPr>
            <w:tcW w:w="180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1B3DCF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职工监事</w:t>
            </w:r>
          </w:p>
        </w:tc>
        <w:tc>
          <w:tcPr>
            <w:tcW w:w="118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537FD0C3">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61.41</w:t>
            </w:r>
          </w:p>
        </w:tc>
        <w:tc>
          <w:tcPr>
            <w:tcW w:w="210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05CB1FD">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lang w:val="en-US"/>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28.84</w:t>
            </w:r>
          </w:p>
        </w:tc>
        <w:tc>
          <w:tcPr>
            <w:tcW w:w="2000" w:type="dxa"/>
            <w:tcBorders>
              <w:top w:val="single" w:color="000000" w:sz="4" w:space="0"/>
              <w:left w:val="single" w:color="000000" w:sz="4" w:space="0"/>
              <w:bottom w:val="single" w:color="000000" w:sz="8" w:space="0"/>
              <w:right w:val="single" w:color="000000" w:sz="8" w:space="0"/>
            </w:tcBorders>
            <w:shd w:val="clear" w:color="auto" w:fill="auto"/>
            <w:vAlign w:val="center"/>
          </w:tcPr>
          <w:p w14:paraId="75EE5E58">
            <w:pPr>
              <w:keepNext w:val="0"/>
              <w:keepLines w:val="0"/>
              <w:widowControl/>
              <w:suppressLineNumbers w:val="0"/>
              <w:jc w:val="center"/>
              <w:textAlignment w:val="center"/>
              <w:rPr>
                <w:rFonts w:hint="default" w:ascii="Times New Roman" w:hAnsi="Times New Roman" w:eastAsia="宋体" w:cs="Times New Roman"/>
                <w:i w:val="0"/>
                <w:iCs w:val="0"/>
                <w:color w:val="FF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0.0</w:t>
            </w:r>
            <w:r>
              <w:rPr>
                <w:rFonts w:hint="eastAsia" w:ascii="Times New Roman" w:hAnsi="Times New Roman" w:eastAsia="宋体" w:cs="Times New Roman"/>
                <w:i w:val="0"/>
                <w:iCs w:val="0"/>
                <w:snapToGrid w:val="0"/>
                <w:color w:val="000000"/>
                <w:kern w:val="0"/>
                <w:sz w:val="20"/>
                <w:szCs w:val="20"/>
                <w:u w:val="none"/>
                <w:lang w:val="en-US" w:eastAsia="zh-CN" w:bidi="ar"/>
              </w:rPr>
              <w:t>5</w:t>
            </w:r>
          </w:p>
        </w:tc>
      </w:tr>
    </w:tbl>
    <w:p w14:paraId="1527D927">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95" w:firstLineChars="200"/>
        <w:textAlignment w:val="baseline"/>
        <w:outlineLvl w:val="1"/>
        <w:rPr>
          <w:rFonts w:hint="default" w:ascii="Times New Roman" w:hAnsi="Times New Roman" w:eastAsia="仿宋_GB2312" w:cs="Times New Roman"/>
          <w:b/>
          <w:bCs/>
          <w:spacing w:val="13"/>
          <w:sz w:val="32"/>
          <w:szCs w:val="32"/>
        </w:rPr>
      </w:pPr>
      <w:r>
        <w:rPr>
          <w:rFonts w:hint="default" w:ascii="Times New Roman" w:hAnsi="Times New Roman" w:eastAsia="仿宋_GB2312" w:cs="Times New Roman"/>
          <w:b/>
          <w:bCs/>
          <w:spacing w:val="13"/>
          <w:sz w:val="32"/>
          <w:szCs w:val="32"/>
        </w:rPr>
        <w:t>2.截至报告期末主要股东及其控股股东、实际控制人</w:t>
      </w:r>
      <w:r>
        <w:rPr>
          <w:rFonts w:hint="eastAsia" w:ascii="Times New Roman" w:hAnsi="Times New Roman" w:eastAsia="仿宋_GB2312" w:cs="Times New Roman"/>
          <w:b/>
          <w:bCs/>
          <w:spacing w:val="13"/>
          <w:sz w:val="32"/>
          <w:szCs w:val="32"/>
          <w:lang w:eastAsia="zh-CN"/>
        </w:rPr>
        <w:t>、</w:t>
      </w:r>
      <w:r>
        <w:rPr>
          <w:rFonts w:hint="default" w:ascii="Times New Roman" w:hAnsi="Times New Roman" w:eastAsia="仿宋_GB2312" w:cs="Times New Roman"/>
          <w:b/>
          <w:bCs/>
          <w:spacing w:val="13"/>
          <w:sz w:val="32"/>
          <w:szCs w:val="32"/>
        </w:rPr>
        <w:t>一致行动人、最终受益人情况</w:t>
      </w:r>
    </w:p>
    <w:tbl>
      <w:tblPr>
        <w:tblStyle w:val="6"/>
        <w:tblW w:w="89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28"/>
        <w:gridCol w:w="1755"/>
        <w:gridCol w:w="1725"/>
        <w:gridCol w:w="2040"/>
        <w:gridCol w:w="1442"/>
      </w:tblGrid>
      <w:tr w14:paraId="4B2AF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028" w:type="dxa"/>
            <w:tcBorders>
              <w:top w:val="single" w:color="000000" w:sz="8" w:space="0"/>
              <w:left w:val="single" w:color="000000" w:sz="8" w:space="0"/>
              <w:bottom w:val="single" w:color="000000" w:sz="4" w:space="0"/>
              <w:right w:val="single" w:color="000000" w:sz="4" w:space="0"/>
            </w:tcBorders>
            <w:shd w:val="clear" w:color="auto" w:fill="0070C0"/>
            <w:vAlign w:val="center"/>
          </w:tcPr>
          <w:p w14:paraId="5A5889E0">
            <w:pPr>
              <w:keepNext w:val="0"/>
              <w:keepLines w:val="0"/>
              <w:widowControl/>
              <w:suppressLineNumbers w:val="0"/>
              <w:jc w:val="center"/>
              <w:textAlignment w:val="center"/>
              <w:rPr>
                <w:rFonts w:hint="eastAsia" w:ascii="宋体" w:hAnsi="宋体" w:eastAsia="宋体" w:cs="宋体"/>
                <w:b/>
                <w:bCs/>
                <w:snapToGrid w:val="0"/>
                <w:color w:val="FFFFFF"/>
                <w:spacing w:val="7"/>
                <w:kern w:val="0"/>
                <w:sz w:val="20"/>
                <w:szCs w:val="20"/>
                <w:lang w:val="en-US" w:eastAsia="zh-CN" w:bidi="ar-SA"/>
              </w:rPr>
            </w:pPr>
            <w:r>
              <w:rPr>
                <w:rFonts w:hint="eastAsia" w:ascii="宋体" w:hAnsi="宋体" w:eastAsia="宋体" w:cs="宋体"/>
                <w:b/>
                <w:bCs/>
                <w:snapToGrid w:val="0"/>
                <w:color w:val="FFFFFF"/>
                <w:spacing w:val="7"/>
                <w:kern w:val="0"/>
                <w:sz w:val="20"/>
                <w:szCs w:val="20"/>
                <w:lang w:val="en-US" w:eastAsia="zh-CN" w:bidi="ar-SA"/>
              </w:rPr>
              <w:t>股东名称</w:t>
            </w:r>
          </w:p>
        </w:tc>
        <w:tc>
          <w:tcPr>
            <w:tcW w:w="1755"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1C2C1857">
            <w:pPr>
              <w:keepNext w:val="0"/>
              <w:keepLines w:val="0"/>
              <w:widowControl/>
              <w:suppressLineNumbers w:val="0"/>
              <w:jc w:val="center"/>
              <w:textAlignment w:val="center"/>
              <w:rPr>
                <w:rFonts w:hint="eastAsia" w:ascii="宋体" w:hAnsi="宋体" w:eastAsia="宋体" w:cs="宋体"/>
                <w:b/>
                <w:bCs/>
                <w:snapToGrid w:val="0"/>
                <w:color w:val="FFFFFF"/>
                <w:spacing w:val="7"/>
                <w:kern w:val="0"/>
                <w:sz w:val="20"/>
                <w:szCs w:val="20"/>
                <w:lang w:val="en-US" w:eastAsia="zh-CN" w:bidi="ar-SA"/>
              </w:rPr>
            </w:pPr>
            <w:r>
              <w:rPr>
                <w:rFonts w:hint="eastAsia" w:ascii="宋体" w:hAnsi="宋体" w:eastAsia="宋体" w:cs="宋体"/>
                <w:b/>
                <w:bCs/>
                <w:snapToGrid w:val="0"/>
                <w:color w:val="FFFFFF"/>
                <w:spacing w:val="7"/>
                <w:kern w:val="0"/>
                <w:sz w:val="20"/>
                <w:szCs w:val="20"/>
                <w:lang w:val="en-US" w:eastAsia="zh-CN" w:bidi="ar-SA"/>
              </w:rPr>
              <w:t>主要股东之控股股东</w:t>
            </w:r>
          </w:p>
        </w:tc>
        <w:tc>
          <w:tcPr>
            <w:tcW w:w="1725"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45D9FA6D">
            <w:pPr>
              <w:keepNext w:val="0"/>
              <w:keepLines w:val="0"/>
              <w:widowControl/>
              <w:suppressLineNumbers w:val="0"/>
              <w:jc w:val="center"/>
              <w:textAlignment w:val="center"/>
              <w:rPr>
                <w:rFonts w:hint="eastAsia" w:ascii="宋体" w:hAnsi="宋体" w:eastAsia="宋体" w:cs="宋体"/>
                <w:b/>
                <w:bCs/>
                <w:snapToGrid w:val="0"/>
                <w:color w:val="FFFFFF"/>
                <w:spacing w:val="7"/>
                <w:kern w:val="0"/>
                <w:sz w:val="20"/>
                <w:szCs w:val="20"/>
                <w:lang w:val="en-US" w:eastAsia="zh-CN" w:bidi="ar-SA"/>
              </w:rPr>
            </w:pPr>
            <w:r>
              <w:rPr>
                <w:rFonts w:hint="eastAsia" w:ascii="宋体" w:hAnsi="宋体" w:eastAsia="宋体" w:cs="宋体"/>
                <w:b/>
                <w:bCs/>
                <w:snapToGrid w:val="0"/>
                <w:color w:val="FFFFFF"/>
                <w:spacing w:val="7"/>
                <w:kern w:val="0"/>
                <w:sz w:val="20"/>
                <w:szCs w:val="20"/>
                <w:lang w:val="en-US" w:eastAsia="zh-CN" w:bidi="ar-SA"/>
              </w:rPr>
              <w:t>主要股东之实际控制人</w:t>
            </w:r>
          </w:p>
        </w:tc>
        <w:tc>
          <w:tcPr>
            <w:tcW w:w="2040"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307D2208">
            <w:pPr>
              <w:keepNext w:val="0"/>
              <w:keepLines w:val="0"/>
              <w:widowControl/>
              <w:suppressLineNumbers w:val="0"/>
              <w:jc w:val="center"/>
              <w:textAlignment w:val="center"/>
              <w:rPr>
                <w:rFonts w:hint="eastAsia" w:ascii="宋体" w:hAnsi="宋体" w:eastAsia="宋体" w:cs="宋体"/>
                <w:b/>
                <w:bCs/>
                <w:snapToGrid w:val="0"/>
                <w:color w:val="FFFFFF"/>
                <w:spacing w:val="7"/>
                <w:kern w:val="0"/>
                <w:sz w:val="20"/>
                <w:szCs w:val="20"/>
                <w:lang w:val="en-US" w:eastAsia="zh-CN" w:bidi="ar-SA"/>
              </w:rPr>
            </w:pPr>
            <w:r>
              <w:rPr>
                <w:rFonts w:hint="eastAsia" w:ascii="宋体" w:hAnsi="宋体" w:eastAsia="宋体" w:cs="宋体"/>
                <w:b/>
                <w:bCs/>
                <w:snapToGrid w:val="0"/>
                <w:color w:val="FFFFFF"/>
                <w:spacing w:val="7"/>
                <w:kern w:val="0"/>
                <w:sz w:val="20"/>
                <w:szCs w:val="20"/>
                <w:lang w:val="en-US" w:eastAsia="zh-CN" w:bidi="ar-SA"/>
              </w:rPr>
              <w:t>主要股东之最终受益人</w:t>
            </w:r>
          </w:p>
        </w:tc>
        <w:tc>
          <w:tcPr>
            <w:tcW w:w="1442" w:type="dxa"/>
            <w:tcBorders>
              <w:top w:val="single" w:color="000000" w:sz="8" w:space="0"/>
              <w:left w:val="single" w:color="000000" w:sz="4" w:space="0"/>
              <w:bottom w:val="single" w:color="000000" w:sz="4" w:space="0"/>
              <w:right w:val="single" w:color="000000" w:sz="8" w:space="0"/>
            </w:tcBorders>
            <w:shd w:val="clear" w:color="auto" w:fill="0070C0"/>
            <w:vAlign w:val="center"/>
          </w:tcPr>
          <w:p w14:paraId="7190839C">
            <w:pPr>
              <w:keepNext w:val="0"/>
              <w:keepLines w:val="0"/>
              <w:widowControl/>
              <w:suppressLineNumbers w:val="0"/>
              <w:jc w:val="center"/>
              <w:textAlignment w:val="center"/>
              <w:rPr>
                <w:rFonts w:hint="eastAsia" w:ascii="宋体" w:hAnsi="宋体" w:eastAsia="宋体" w:cs="宋体"/>
                <w:b/>
                <w:bCs/>
                <w:snapToGrid w:val="0"/>
                <w:color w:val="FFFFFF"/>
                <w:spacing w:val="7"/>
                <w:kern w:val="0"/>
                <w:sz w:val="20"/>
                <w:szCs w:val="20"/>
                <w:lang w:val="en-US" w:eastAsia="zh-CN" w:bidi="ar-SA"/>
              </w:rPr>
            </w:pPr>
            <w:r>
              <w:rPr>
                <w:rFonts w:hint="eastAsia" w:ascii="宋体" w:hAnsi="宋体" w:eastAsia="宋体" w:cs="宋体"/>
                <w:b/>
                <w:bCs/>
                <w:snapToGrid w:val="0"/>
                <w:color w:val="FFFFFF"/>
                <w:spacing w:val="7"/>
                <w:kern w:val="0"/>
                <w:sz w:val="20"/>
                <w:szCs w:val="20"/>
                <w:lang w:val="en-US" w:eastAsia="zh-CN" w:bidi="ar-SA"/>
              </w:rPr>
              <w:t>主要股东之</w:t>
            </w:r>
            <w:r>
              <w:rPr>
                <w:rFonts w:hint="eastAsia" w:ascii="宋体" w:hAnsi="宋体" w:eastAsia="宋体" w:cs="宋体"/>
                <w:b/>
                <w:bCs/>
                <w:snapToGrid w:val="0"/>
                <w:color w:val="FFFFFF"/>
                <w:spacing w:val="7"/>
                <w:kern w:val="0"/>
                <w:sz w:val="20"/>
                <w:szCs w:val="20"/>
                <w:lang w:val="en-US" w:eastAsia="zh-CN" w:bidi="ar-SA"/>
              </w:rPr>
              <w:br w:type="textWrapping"/>
            </w:r>
            <w:r>
              <w:rPr>
                <w:rFonts w:hint="eastAsia" w:ascii="宋体" w:hAnsi="宋体" w:eastAsia="宋体" w:cs="宋体"/>
                <w:b/>
                <w:bCs/>
                <w:snapToGrid w:val="0"/>
                <w:color w:val="FFFFFF"/>
                <w:spacing w:val="7"/>
                <w:kern w:val="0"/>
                <w:sz w:val="20"/>
                <w:szCs w:val="20"/>
                <w:lang w:val="en-US" w:eastAsia="zh-CN" w:bidi="ar-SA"/>
              </w:rPr>
              <w:t>一致行动人</w:t>
            </w:r>
          </w:p>
        </w:tc>
      </w:tr>
      <w:tr w14:paraId="707B6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028"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B5309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金绣集团有限公司</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705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金亮</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A8D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金伟东</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61C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金亮、金蕾</w:t>
            </w:r>
          </w:p>
        </w:tc>
        <w:tc>
          <w:tcPr>
            <w:tcW w:w="144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B53FE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无</w:t>
            </w:r>
          </w:p>
        </w:tc>
      </w:tr>
      <w:tr w14:paraId="6C66A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28"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0F742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真爱集团有限公司</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52D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郑期中</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FA3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郑期中</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17D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郑期中、刘元庆、刘忠庆</w:t>
            </w:r>
          </w:p>
        </w:tc>
        <w:tc>
          <w:tcPr>
            <w:tcW w:w="144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2727B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无</w:t>
            </w:r>
          </w:p>
        </w:tc>
      </w:tr>
      <w:tr w14:paraId="36707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28"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239E3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华统集团有限公司</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037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朱俭勇</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A08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朱俭勇</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945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朱俭勇、朱俭军、朱凯</w:t>
            </w:r>
          </w:p>
        </w:tc>
        <w:tc>
          <w:tcPr>
            <w:tcW w:w="144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060D2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无</w:t>
            </w:r>
          </w:p>
        </w:tc>
      </w:tr>
      <w:tr w14:paraId="570E9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trPr>
        <w:tc>
          <w:tcPr>
            <w:tcW w:w="2028"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217CDC5">
            <w:pPr>
              <w:keepNext w:val="0"/>
              <w:keepLines w:val="0"/>
              <w:widowControl/>
              <w:suppressLineNumbers w:val="0"/>
              <w:jc w:val="center"/>
              <w:textAlignment w:val="center"/>
              <w:rPr>
                <w:rFonts w:hint="eastAsia" w:ascii="宋体" w:hAnsi="宋体" w:eastAsia="宋体" w:cs="宋体"/>
                <w:i w:val="0"/>
                <w:iCs w:val="0"/>
                <w:snapToGrid w:val="0"/>
                <w:color w:val="auto"/>
                <w:kern w:val="0"/>
                <w:sz w:val="20"/>
                <w:szCs w:val="20"/>
                <w:u w:val="none"/>
                <w:lang w:val="en-US" w:eastAsia="zh-CN" w:bidi="ar"/>
              </w:rPr>
            </w:pPr>
            <w:r>
              <w:rPr>
                <w:rFonts w:hint="eastAsia" w:ascii="宋体" w:hAnsi="宋体" w:eastAsia="宋体" w:cs="宋体"/>
                <w:i w:val="0"/>
                <w:iCs w:val="0"/>
                <w:snapToGrid w:val="0"/>
                <w:color w:val="auto"/>
                <w:kern w:val="0"/>
                <w:sz w:val="20"/>
                <w:szCs w:val="20"/>
                <w:u w:val="none"/>
                <w:lang w:val="en-US" w:eastAsia="zh-CN" w:bidi="ar"/>
              </w:rPr>
              <w:t>浙江省财开集团</w:t>
            </w:r>
          </w:p>
          <w:p w14:paraId="0FCA83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auto"/>
                <w:kern w:val="0"/>
                <w:sz w:val="20"/>
                <w:szCs w:val="20"/>
                <w:u w:val="none"/>
                <w:lang w:val="en-US" w:eastAsia="zh-CN" w:bidi="ar"/>
              </w:rPr>
              <w:t>有限公司</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D53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浙江省财政厅</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40C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浙江省财政厅</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28F2C">
            <w:pPr>
              <w:keepNext w:val="0"/>
              <w:keepLines w:val="0"/>
              <w:widowControl/>
              <w:suppressLineNumbers w:val="0"/>
              <w:jc w:val="center"/>
              <w:textAlignment w:val="center"/>
              <w:rPr>
                <w:rFonts w:hint="eastAsia" w:ascii="宋体" w:hAnsi="宋体" w:eastAsia="宋体" w:cs="宋体"/>
                <w:i w:val="0"/>
                <w:iCs w:val="0"/>
                <w:snapToGrid w:val="0"/>
                <w:color w:val="auto"/>
                <w:kern w:val="0"/>
                <w:sz w:val="20"/>
                <w:szCs w:val="20"/>
                <w:u w:val="none"/>
                <w:lang w:val="en-US" w:eastAsia="zh-CN" w:bidi="ar"/>
              </w:rPr>
            </w:pPr>
            <w:r>
              <w:rPr>
                <w:rFonts w:hint="eastAsia" w:ascii="宋体" w:hAnsi="宋体" w:eastAsia="宋体" w:cs="宋体"/>
                <w:i w:val="0"/>
                <w:iCs w:val="0"/>
                <w:snapToGrid w:val="0"/>
                <w:color w:val="auto"/>
                <w:kern w:val="0"/>
                <w:sz w:val="20"/>
                <w:szCs w:val="20"/>
                <w:u w:val="none"/>
                <w:lang w:val="en-US" w:eastAsia="zh-CN" w:bidi="ar"/>
              </w:rPr>
              <w:t>浙江省财开集团</w:t>
            </w:r>
          </w:p>
          <w:p w14:paraId="53F90B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auto"/>
                <w:kern w:val="0"/>
                <w:sz w:val="20"/>
                <w:szCs w:val="20"/>
                <w:u w:val="none"/>
                <w:lang w:val="en-US" w:eastAsia="zh-CN" w:bidi="ar"/>
              </w:rPr>
              <w:t>有限公司</w:t>
            </w:r>
          </w:p>
        </w:tc>
        <w:tc>
          <w:tcPr>
            <w:tcW w:w="144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7B094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无</w:t>
            </w:r>
          </w:p>
        </w:tc>
      </w:tr>
      <w:tr w14:paraId="4D3D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2028"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97FF4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义乌市国有资本运营有限公司</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3C4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义乌市人民政府国有资产监督管理办公室</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E84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义乌市人民政府国有资产监督管理办公室</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283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义乌市人民政府国有资产监督管理办公室</w:t>
            </w:r>
          </w:p>
        </w:tc>
        <w:tc>
          <w:tcPr>
            <w:tcW w:w="144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9AB4A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无</w:t>
            </w:r>
          </w:p>
        </w:tc>
      </w:tr>
      <w:tr w14:paraId="53322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2028" w:type="dxa"/>
            <w:tcBorders>
              <w:top w:val="single" w:color="000000" w:sz="4" w:space="0"/>
              <w:left w:val="single" w:color="000000" w:sz="8" w:space="0"/>
              <w:bottom w:val="single" w:color="000000" w:sz="8" w:space="0"/>
              <w:right w:val="single" w:color="000000" w:sz="4" w:space="0"/>
            </w:tcBorders>
            <w:shd w:val="clear" w:color="auto" w:fill="auto"/>
            <w:vAlign w:val="center"/>
          </w:tcPr>
          <w:p w14:paraId="736432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义乌市少林袜业有限公司</w:t>
            </w:r>
          </w:p>
        </w:tc>
        <w:tc>
          <w:tcPr>
            <w:tcW w:w="175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144D6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傅文豪</w:t>
            </w:r>
          </w:p>
        </w:tc>
        <w:tc>
          <w:tcPr>
            <w:tcW w:w="172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DDD90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傅小林</w:t>
            </w:r>
          </w:p>
        </w:tc>
        <w:tc>
          <w:tcPr>
            <w:tcW w:w="204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2EBF18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傅文豪、傅小林、丁爱仙</w:t>
            </w:r>
          </w:p>
        </w:tc>
        <w:tc>
          <w:tcPr>
            <w:tcW w:w="1442" w:type="dxa"/>
            <w:tcBorders>
              <w:top w:val="single" w:color="000000" w:sz="4" w:space="0"/>
              <w:left w:val="single" w:color="000000" w:sz="4" w:space="0"/>
              <w:bottom w:val="single" w:color="000000" w:sz="8" w:space="0"/>
              <w:right w:val="single" w:color="000000" w:sz="8" w:space="0"/>
            </w:tcBorders>
            <w:shd w:val="clear" w:color="auto" w:fill="auto"/>
            <w:vAlign w:val="center"/>
          </w:tcPr>
          <w:p w14:paraId="7C8632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无</w:t>
            </w:r>
          </w:p>
        </w:tc>
      </w:tr>
    </w:tbl>
    <w:p w14:paraId="2C70F0EF">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95" w:firstLineChars="200"/>
        <w:textAlignment w:val="baseline"/>
        <w:outlineLvl w:val="1"/>
        <w:rPr>
          <w:rFonts w:hint="default" w:ascii="Times New Roman" w:hAnsi="Times New Roman" w:eastAsia="仿宋_GB2312" w:cs="Times New Roman"/>
          <w:b/>
          <w:bCs/>
          <w:spacing w:val="13"/>
          <w:sz w:val="32"/>
          <w:szCs w:val="32"/>
        </w:rPr>
      </w:pPr>
      <w:r>
        <w:rPr>
          <w:rFonts w:hint="default" w:ascii="Times New Roman" w:hAnsi="Times New Roman" w:eastAsia="仿宋_GB2312" w:cs="Times New Roman"/>
          <w:b/>
          <w:bCs/>
          <w:spacing w:val="13"/>
          <w:sz w:val="32"/>
          <w:szCs w:val="32"/>
          <w:lang w:val="en-US" w:eastAsia="zh-CN"/>
        </w:rPr>
        <w:t>3.</w:t>
      </w:r>
      <w:r>
        <w:rPr>
          <w:rFonts w:hint="default" w:ascii="Times New Roman" w:hAnsi="Times New Roman" w:eastAsia="仿宋_GB2312" w:cs="Times New Roman"/>
          <w:b/>
          <w:bCs/>
          <w:spacing w:val="13"/>
          <w:sz w:val="32"/>
          <w:szCs w:val="32"/>
        </w:rPr>
        <w:t>主要股东股权质押、冻结情况</w:t>
      </w:r>
    </w:p>
    <w:p w14:paraId="015942E9">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color w:val="FF0000"/>
          <w:sz w:val="32"/>
          <w:szCs w:val="32"/>
        </w:rPr>
      </w:pPr>
      <w:r>
        <w:rPr>
          <w:rFonts w:hint="default" w:ascii="Times New Roman" w:hAnsi="Times New Roman" w:eastAsia="仿宋_GB2312" w:cs="Times New Roman"/>
          <w:color w:val="auto"/>
          <w:sz w:val="32"/>
          <w:szCs w:val="32"/>
        </w:rPr>
        <w:t>截至</w:t>
      </w:r>
      <w:r>
        <w:rPr>
          <w:rFonts w:hint="default" w:ascii="Times New Roman" w:hAnsi="Times New Roman" w:eastAsia="仿宋_GB2312" w:cs="Times New Roman"/>
          <w:color w:val="auto"/>
          <w:sz w:val="32"/>
          <w:szCs w:val="32"/>
          <w:lang w:eastAsia="zh-CN"/>
        </w:rPr>
        <w:t>报告期</w:t>
      </w:r>
      <w:r>
        <w:rPr>
          <w:rFonts w:hint="default" w:ascii="Times New Roman" w:hAnsi="Times New Roman" w:eastAsia="仿宋_GB2312" w:cs="Times New Roman"/>
          <w:color w:val="auto"/>
          <w:sz w:val="32"/>
          <w:szCs w:val="32"/>
        </w:rPr>
        <w:t>末，本行</w:t>
      </w:r>
      <w:r>
        <w:rPr>
          <w:rFonts w:hint="default" w:ascii="Times New Roman" w:hAnsi="Times New Roman" w:eastAsia="仿宋_GB2312" w:cs="Times New Roman"/>
          <w:color w:val="auto"/>
          <w:sz w:val="32"/>
          <w:szCs w:val="32"/>
          <w:lang w:eastAsia="zh-CN"/>
        </w:rPr>
        <w:t>主要</w:t>
      </w:r>
      <w:r>
        <w:rPr>
          <w:rFonts w:hint="default" w:ascii="Times New Roman" w:hAnsi="Times New Roman" w:eastAsia="仿宋_GB2312" w:cs="Times New Roman"/>
          <w:color w:val="auto"/>
          <w:sz w:val="32"/>
          <w:szCs w:val="32"/>
        </w:rPr>
        <w:t>股东质押股份合计</w:t>
      </w:r>
      <w:r>
        <w:rPr>
          <w:rFonts w:hint="eastAsia" w:ascii="Times New Roman" w:hAnsi="Times New Roman" w:eastAsia="仿宋_GB2312" w:cs="Times New Roman"/>
          <w:color w:val="auto"/>
          <w:sz w:val="32"/>
          <w:szCs w:val="32"/>
          <w:lang w:val="en-US" w:eastAsia="zh-CN"/>
        </w:rPr>
        <w:t>80</w:t>
      </w:r>
      <w:r>
        <w:rPr>
          <w:rFonts w:hint="eastAsia" w:ascii="Times New Roman" w:hAnsi="Times New Roman" w:eastAsia="仿宋_GB2312" w:cs="Times New Roman"/>
          <w:sz w:val="32"/>
          <w:szCs w:val="32"/>
          <w:lang w:val="en-US" w:eastAsia="zh-CN"/>
        </w:rPr>
        <w:t>00</w:t>
      </w:r>
      <w:r>
        <w:rPr>
          <w:rFonts w:hint="default" w:ascii="Times New Roman" w:hAnsi="Times New Roman" w:eastAsia="仿宋_GB2312" w:cs="Times New Roman"/>
          <w:sz w:val="32"/>
          <w:szCs w:val="32"/>
          <w:lang w:eastAsia="zh-CN"/>
        </w:rPr>
        <w:t>万</w:t>
      </w:r>
      <w:r>
        <w:rPr>
          <w:rFonts w:hint="default" w:ascii="Times New Roman" w:hAnsi="Times New Roman" w:eastAsia="仿宋_GB2312" w:cs="Times New Roman"/>
          <w:sz w:val="32"/>
          <w:szCs w:val="32"/>
        </w:rPr>
        <w:t>股</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占本行总股本的</w:t>
      </w:r>
      <w:r>
        <w:rPr>
          <w:rFonts w:hint="default"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lang w:val="en-US" w:eastAsia="zh-CN"/>
        </w:rPr>
        <w:t>05</w:t>
      </w:r>
      <w:r>
        <w:rPr>
          <w:rFonts w:hint="default" w:ascii="Times New Roman" w:hAnsi="Times New Roman" w:eastAsia="仿宋_GB2312" w:cs="Times New Roman"/>
          <w:sz w:val="32"/>
          <w:szCs w:val="32"/>
        </w:rPr>
        <w:t>%。</w:t>
      </w:r>
    </w:p>
    <w:tbl>
      <w:tblPr>
        <w:tblStyle w:val="8"/>
        <w:tblW w:w="9015" w:type="dxa"/>
        <w:tblInd w:w="-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0070C0"/>
        <w:tblLayout w:type="fixed"/>
        <w:tblCellMar>
          <w:top w:w="0" w:type="dxa"/>
          <w:left w:w="0" w:type="dxa"/>
          <w:bottom w:w="0" w:type="dxa"/>
          <w:right w:w="0" w:type="dxa"/>
        </w:tblCellMar>
      </w:tblPr>
      <w:tblGrid>
        <w:gridCol w:w="1950"/>
        <w:gridCol w:w="1995"/>
        <w:gridCol w:w="1935"/>
        <w:gridCol w:w="3135"/>
      </w:tblGrid>
      <w:tr w14:paraId="74534B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0070C0"/>
          <w:tblCellMar>
            <w:top w:w="0" w:type="dxa"/>
            <w:left w:w="0" w:type="dxa"/>
            <w:bottom w:w="0" w:type="dxa"/>
            <w:right w:w="0" w:type="dxa"/>
          </w:tblCellMar>
        </w:tblPrEx>
        <w:trPr>
          <w:trHeight w:val="631" w:hRule="atLeast"/>
        </w:trPr>
        <w:tc>
          <w:tcPr>
            <w:tcW w:w="1950" w:type="dxa"/>
            <w:tcBorders>
              <w:left w:val="single" w:color="000000" w:sz="2" w:space="0"/>
              <w:bottom w:val="single" w:color="000000" w:sz="2" w:space="0"/>
              <w:right w:val="single" w:color="000000" w:sz="2" w:space="0"/>
            </w:tcBorders>
            <w:shd w:val="clear" w:color="auto" w:fill="0070C0"/>
            <w:vAlign w:val="top"/>
          </w:tcPr>
          <w:p w14:paraId="1867D5D4">
            <w:pPr>
              <w:pStyle w:val="9"/>
              <w:spacing w:before="212" w:line="228" w:lineRule="auto"/>
              <w:ind w:left="625"/>
              <w:rPr>
                <w:rFonts w:hint="default" w:ascii="Times New Roman" w:hAnsi="Times New Roman" w:cs="Times New Roman"/>
              </w:rPr>
            </w:pPr>
            <w:r>
              <w:rPr>
                <w:rFonts w:hint="default" w:ascii="Times New Roman" w:hAnsi="Times New Roman" w:cs="Times New Roman"/>
                <w:color w:val="FFFFFF"/>
                <w:spacing w:val="7"/>
                <w:lang w:eastAsia="zh-CN"/>
              </w:rPr>
              <w:t>主要</w:t>
            </w:r>
            <w:r>
              <w:rPr>
                <w:rFonts w:hint="default" w:ascii="Times New Roman" w:hAnsi="Times New Roman" w:cs="Times New Roman"/>
                <w:color w:val="FFFFFF"/>
                <w:spacing w:val="7"/>
              </w:rPr>
              <w:t>股东名称</w:t>
            </w:r>
          </w:p>
        </w:tc>
        <w:tc>
          <w:tcPr>
            <w:tcW w:w="1995" w:type="dxa"/>
            <w:tcBorders>
              <w:left w:val="single" w:color="000000" w:sz="2" w:space="0"/>
              <w:bottom w:val="single" w:color="000000" w:sz="2" w:space="0"/>
              <w:right w:val="single" w:color="000000" w:sz="2" w:space="0"/>
            </w:tcBorders>
            <w:shd w:val="clear" w:color="auto" w:fill="0070C0"/>
            <w:vAlign w:val="top"/>
          </w:tcPr>
          <w:p w14:paraId="3F6A7ACB">
            <w:pPr>
              <w:pStyle w:val="9"/>
              <w:spacing w:before="212" w:line="230" w:lineRule="auto"/>
              <w:ind w:left="229"/>
              <w:rPr>
                <w:rFonts w:hint="default" w:ascii="Times New Roman" w:hAnsi="Times New Roman" w:eastAsia="宋体" w:cs="Times New Roman"/>
                <w:lang w:eastAsia="zh-CN"/>
              </w:rPr>
            </w:pPr>
            <w:r>
              <w:rPr>
                <w:rFonts w:hint="default" w:ascii="Times New Roman" w:hAnsi="Times New Roman" w:eastAsia="宋体" w:cs="Times New Roman"/>
                <w:color w:val="FFFFFF"/>
                <w:spacing w:val="7"/>
                <w:lang w:eastAsia="zh-CN"/>
              </w:rPr>
              <w:t>持有股份（万股）</w:t>
            </w:r>
          </w:p>
        </w:tc>
        <w:tc>
          <w:tcPr>
            <w:tcW w:w="1935" w:type="dxa"/>
            <w:tcBorders>
              <w:left w:val="single" w:color="000000" w:sz="2" w:space="0"/>
              <w:bottom w:val="single" w:color="000000" w:sz="2" w:space="0"/>
              <w:right w:val="single" w:color="000000" w:sz="2" w:space="0"/>
            </w:tcBorders>
            <w:shd w:val="clear" w:color="auto" w:fill="0070C0"/>
            <w:vAlign w:val="top"/>
          </w:tcPr>
          <w:p w14:paraId="448985C1">
            <w:pPr>
              <w:pStyle w:val="9"/>
              <w:spacing w:before="212" w:line="240" w:lineRule="auto"/>
              <w:ind w:left="123"/>
              <w:rPr>
                <w:rFonts w:hint="default" w:ascii="Times New Roman" w:hAnsi="Times New Roman" w:eastAsia="宋体" w:cs="Times New Roman"/>
                <w:lang w:eastAsia="zh-CN"/>
              </w:rPr>
            </w:pPr>
            <w:r>
              <w:rPr>
                <w:rFonts w:hint="default" w:ascii="Times New Roman" w:hAnsi="Times New Roman" w:cs="Times New Roman"/>
                <w:color w:val="FFFFFF"/>
                <w:spacing w:val="7"/>
                <w:lang w:eastAsia="zh-CN"/>
              </w:rPr>
              <w:t>质押股份（万股）</w:t>
            </w:r>
          </w:p>
        </w:tc>
        <w:tc>
          <w:tcPr>
            <w:tcW w:w="3135" w:type="dxa"/>
            <w:tcBorders>
              <w:left w:val="single" w:color="000000" w:sz="2" w:space="0"/>
              <w:bottom w:val="single" w:color="000000" w:sz="2" w:space="0"/>
              <w:right w:val="single" w:color="000000" w:sz="2" w:space="0"/>
            </w:tcBorders>
            <w:shd w:val="clear" w:color="auto" w:fill="0070C0"/>
            <w:vAlign w:val="top"/>
          </w:tcPr>
          <w:p w14:paraId="51D74F31">
            <w:pPr>
              <w:pStyle w:val="9"/>
              <w:spacing w:before="181" w:line="240" w:lineRule="auto"/>
              <w:ind w:left="1373" w:leftChars="154" w:hanging="1050" w:hangingChars="500"/>
              <w:rPr>
                <w:rFonts w:hint="default" w:ascii="Times New Roman" w:hAnsi="Times New Roman" w:eastAsia="宋体" w:cs="Times New Roman"/>
                <w:lang w:eastAsia="zh-CN"/>
              </w:rPr>
            </w:pPr>
            <w:r>
              <w:rPr>
                <w:rFonts w:hint="default" w:ascii="Times New Roman" w:hAnsi="Times New Roman" w:cs="Times New Roman"/>
                <w:color w:val="FFFFFF"/>
                <w:spacing w:val="5"/>
                <w:position w:val="2"/>
                <w:lang w:eastAsia="zh-CN"/>
              </w:rPr>
              <w:t>出质股份占其所持股份的</w:t>
            </w:r>
            <w:r>
              <w:rPr>
                <w:rFonts w:hint="default" w:ascii="Times New Roman" w:hAnsi="Times New Roman" w:cs="Times New Roman"/>
                <w:color w:val="FFFFFF"/>
                <w:spacing w:val="5"/>
                <w:position w:val="2"/>
              </w:rPr>
              <w:t>比例</w:t>
            </w:r>
            <w:r>
              <w:rPr>
                <w:rFonts w:hint="default" w:ascii="Times New Roman" w:hAnsi="Times New Roman" w:cs="Times New Roman"/>
                <w:color w:val="FFFFFF"/>
                <w:spacing w:val="5"/>
                <w:position w:val="2"/>
                <w:lang w:eastAsia="zh-CN"/>
              </w:rPr>
              <w:t>（</w:t>
            </w:r>
            <w:r>
              <w:rPr>
                <w:rFonts w:hint="default" w:ascii="Times New Roman" w:hAnsi="Times New Roman" w:eastAsia="Times New Roman" w:cs="Times New Roman"/>
                <w:color w:val="FFFFFF"/>
                <w:spacing w:val="5"/>
                <w:position w:val="2"/>
              </w:rPr>
              <w:t>%</w:t>
            </w:r>
            <w:r>
              <w:rPr>
                <w:rFonts w:hint="default" w:ascii="Times New Roman" w:hAnsi="Times New Roman" w:eastAsia="宋体" w:cs="Times New Roman"/>
                <w:color w:val="FFFFFF"/>
                <w:spacing w:val="5"/>
                <w:position w:val="2"/>
                <w:lang w:eastAsia="zh-CN"/>
              </w:rPr>
              <w:t>）</w:t>
            </w:r>
          </w:p>
        </w:tc>
      </w:tr>
      <w:tr w14:paraId="56B42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447" w:hRule="atLeast"/>
        </w:trPr>
        <w:tc>
          <w:tcPr>
            <w:tcW w:w="195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F3D6D52">
            <w:pPr>
              <w:pStyle w:val="9"/>
              <w:spacing w:before="56" w:line="261" w:lineRule="auto"/>
              <w:ind w:left="45" w:right="25" w:hanging="3"/>
              <w:jc w:val="center"/>
              <w:rPr>
                <w:rFonts w:hint="default" w:ascii="Times New Roman" w:hAnsi="Times New Roman" w:cs="Times New Roman"/>
                <w:sz w:val="20"/>
                <w:szCs w:val="20"/>
              </w:rPr>
            </w:pPr>
            <w:r>
              <w:rPr>
                <w:rFonts w:hint="default" w:ascii="Times New Roman" w:hAnsi="Times New Roman" w:cs="Times New Roman"/>
                <w:color w:val="auto"/>
                <w:kern w:val="0"/>
                <w:sz w:val="20"/>
                <w:szCs w:val="20"/>
              </w:rPr>
              <w:t>真爱集团有限公司</w:t>
            </w:r>
          </w:p>
        </w:tc>
        <w:tc>
          <w:tcPr>
            <w:tcW w:w="199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9D5C2C8">
            <w:pPr>
              <w:pStyle w:val="9"/>
              <w:keepNext w:val="0"/>
              <w:keepLines w:val="0"/>
              <w:pageBreakBefore w:val="0"/>
              <w:widowControl/>
              <w:kinsoku w:val="0"/>
              <w:wordWrap/>
              <w:overflowPunct/>
              <w:topLinePunct w:val="0"/>
              <w:autoSpaceDE w:val="0"/>
              <w:autoSpaceDN w:val="0"/>
              <w:bidi w:val="0"/>
              <w:adjustRightInd w:val="0"/>
              <w:snapToGrid w:val="0"/>
              <w:spacing w:line="228" w:lineRule="auto"/>
              <w:ind w:left="0" w:leftChars="0"/>
              <w:jc w:val="center"/>
              <w:textAlignment w:val="baseline"/>
              <w:rPr>
                <w:rFonts w:hint="default" w:ascii="Times New Roman" w:hAnsi="Times New Roman" w:eastAsia="宋体" w:cs="Times New Roman"/>
                <w:color w:val="FF0000"/>
                <w:sz w:val="20"/>
                <w:szCs w:val="20"/>
                <w:lang w:val="en-US" w:eastAsia="zh-CN"/>
              </w:rPr>
            </w:pPr>
            <w:r>
              <w:rPr>
                <w:rFonts w:hint="eastAsia" w:ascii="Times New Roman" w:hAnsi="Times New Roman" w:cs="Times New Roman"/>
                <w:sz w:val="20"/>
                <w:szCs w:val="20"/>
                <w:lang w:val="en-US" w:eastAsia="zh-CN"/>
              </w:rPr>
              <w:t>9884.5556</w:t>
            </w:r>
          </w:p>
        </w:tc>
        <w:tc>
          <w:tcPr>
            <w:tcW w:w="193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D1AD5AC">
            <w:pPr>
              <w:pStyle w:val="9"/>
              <w:keepNext w:val="0"/>
              <w:keepLines w:val="0"/>
              <w:pageBreakBefore w:val="0"/>
              <w:widowControl/>
              <w:kinsoku w:val="0"/>
              <w:wordWrap/>
              <w:overflowPunct/>
              <w:topLinePunct w:val="0"/>
              <w:autoSpaceDE w:val="0"/>
              <w:autoSpaceDN w:val="0"/>
              <w:bidi w:val="0"/>
              <w:adjustRightInd w:val="0"/>
              <w:snapToGrid w:val="0"/>
              <w:spacing w:line="228" w:lineRule="auto"/>
              <w:ind w:left="0" w:leftChars="0"/>
              <w:jc w:val="center"/>
              <w:textAlignment w:val="baseline"/>
              <w:rPr>
                <w:rFonts w:hint="default" w:ascii="Times New Roman" w:hAnsi="Times New Roman" w:eastAsia="宋体" w:cs="Times New Roman"/>
                <w:color w:val="FF0000"/>
                <w:sz w:val="20"/>
                <w:szCs w:val="20"/>
                <w:lang w:val="en-US" w:eastAsia="zh-CN"/>
              </w:rPr>
            </w:pPr>
            <w:r>
              <w:rPr>
                <w:rFonts w:hint="eastAsia" w:ascii="Times New Roman" w:hAnsi="Times New Roman" w:cs="Times New Roman"/>
                <w:spacing w:val="6"/>
                <w:sz w:val="20"/>
                <w:szCs w:val="20"/>
                <w:lang w:val="en-US" w:eastAsia="zh-CN"/>
              </w:rPr>
              <w:t>42</w:t>
            </w:r>
            <w:r>
              <w:rPr>
                <w:rFonts w:hint="default" w:ascii="Times New Roman" w:hAnsi="Times New Roman" w:cs="Times New Roman"/>
                <w:spacing w:val="6"/>
                <w:sz w:val="20"/>
                <w:szCs w:val="20"/>
                <w:lang w:val="en-US" w:eastAsia="zh-CN"/>
              </w:rPr>
              <w:t>00</w:t>
            </w:r>
          </w:p>
        </w:tc>
        <w:tc>
          <w:tcPr>
            <w:tcW w:w="313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DFB3B61">
            <w:pPr>
              <w:keepNext w:val="0"/>
              <w:keepLines w:val="0"/>
              <w:pageBreakBefore w:val="0"/>
              <w:widowControl/>
              <w:kinsoku w:val="0"/>
              <w:wordWrap/>
              <w:overflowPunct/>
              <w:topLinePunct w:val="0"/>
              <w:autoSpaceDE w:val="0"/>
              <w:autoSpaceDN w:val="0"/>
              <w:bidi w:val="0"/>
              <w:adjustRightInd w:val="0"/>
              <w:snapToGrid w:val="0"/>
              <w:spacing w:line="195" w:lineRule="auto"/>
              <w:ind w:left="0" w:leftChars="0"/>
              <w:jc w:val="center"/>
              <w:textAlignment w:val="baseline"/>
              <w:rPr>
                <w:rFonts w:hint="default" w:ascii="Times New Roman" w:hAnsi="Times New Roman" w:eastAsia="宋体" w:cs="Times New Roman"/>
                <w:color w:val="FF0000"/>
                <w:sz w:val="20"/>
                <w:szCs w:val="20"/>
                <w:lang w:val="en-US" w:eastAsia="zh-CN"/>
              </w:rPr>
            </w:pPr>
            <w:r>
              <w:rPr>
                <w:rFonts w:hint="eastAsia" w:ascii="Times New Roman" w:hAnsi="Times New Roman" w:eastAsia="宋体" w:cs="Times New Roman"/>
                <w:snapToGrid w:val="0"/>
                <w:color w:val="000000"/>
                <w:spacing w:val="6"/>
                <w:kern w:val="0"/>
                <w:sz w:val="20"/>
                <w:szCs w:val="20"/>
                <w:lang w:val="en-US" w:eastAsia="zh-CN" w:bidi="ar-SA"/>
              </w:rPr>
              <w:t>42.49</w:t>
            </w:r>
          </w:p>
        </w:tc>
      </w:tr>
      <w:tr w14:paraId="4CF96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487" w:hRule="atLeast"/>
        </w:trPr>
        <w:tc>
          <w:tcPr>
            <w:tcW w:w="195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2B98159">
            <w:pPr>
              <w:pStyle w:val="9"/>
              <w:spacing w:before="53" w:line="260" w:lineRule="auto"/>
              <w:ind w:left="50" w:right="25" w:hanging="13"/>
              <w:jc w:val="center"/>
              <w:rPr>
                <w:rFonts w:hint="default" w:ascii="Times New Roman" w:hAnsi="Times New Roman" w:cs="Times New Roman"/>
                <w:sz w:val="20"/>
                <w:szCs w:val="20"/>
              </w:rPr>
            </w:pPr>
            <w:r>
              <w:rPr>
                <w:rFonts w:hint="default" w:ascii="Times New Roman" w:hAnsi="Times New Roman" w:cs="Times New Roman"/>
                <w:color w:val="auto"/>
                <w:kern w:val="0"/>
                <w:sz w:val="20"/>
                <w:szCs w:val="20"/>
              </w:rPr>
              <w:t>华统集团有限公司</w:t>
            </w:r>
          </w:p>
        </w:tc>
        <w:tc>
          <w:tcPr>
            <w:tcW w:w="199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3C8CEA3">
            <w:pPr>
              <w:pStyle w:val="9"/>
              <w:keepNext w:val="0"/>
              <w:keepLines w:val="0"/>
              <w:pageBreakBefore w:val="0"/>
              <w:widowControl/>
              <w:kinsoku w:val="0"/>
              <w:wordWrap/>
              <w:overflowPunct/>
              <w:topLinePunct w:val="0"/>
              <w:autoSpaceDE w:val="0"/>
              <w:autoSpaceDN w:val="0"/>
              <w:bidi w:val="0"/>
              <w:adjustRightInd w:val="0"/>
              <w:snapToGrid w:val="0"/>
              <w:spacing w:line="228" w:lineRule="auto"/>
              <w:ind w:left="0" w:leftChars="0"/>
              <w:jc w:val="center"/>
              <w:textAlignment w:val="baseline"/>
              <w:rPr>
                <w:rFonts w:hint="default" w:ascii="Times New Roman" w:hAnsi="Times New Roman" w:eastAsia="宋体" w:cs="Times New Roman"/>
                <w:color w:val="FF0000"/>
                <w:sz w:val="20"/>
                <w:szCs w:val="20"/>
                <w:lang w:val="en-US" w:eastAsia="zh-CN"/>
              </w:rPr>
            </w:pPr>
            <w:r>
              <w:rPr>
                <w:rFonts w:hint="eastAsia" w:ascii="Times New Roman" w:hAnsi="Times New Roman" w:cs="Times New Roman"/>
                <w:sz w:val="20"/>
                <w:szCs w:val="20"/>
                <w:lang w:val="en-US" w:eastAsia="zh-CN"/>
              </w:rPr>
              <w:t>9884.5556</w:t>
            </w:r>
          </w:p>
        </w:tc>
        <w:tc>
          <w:tcPr>
            <w:tcW w:w="193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E724F6C">
            <w:pPr>
              <w:pStyle w:val="9"/>
              <w:keepNext w:val="0"/>
              <w:keepLines w:val="0"/>
              <w:pageBreakBefore w:val="0"/>
              <w:widowControl/>
              <w:kinsoku w:val="0"/>
              <w:wordWrap/>
              <w:overflowPunct/>
              <w:topLinePunct w:val="0"/>
              <w:autoSpaceDE w:val="0"/>
              <w:autoSpaceDN w:val="0"/>
              <w:bidi w:val="0"/>
              <w:adjustRightInd w:val="0"/>
              <w:snapToGrid w:val="0"/>
              <w:spacing w:line="229" w:lineRule="auto"/>
              <w:ind w:left="0" w:leftChars="0"/>
              <w:jc w:val="center"/>
              <w:textAlignment w:val="baseline"/>
              <w:rPr>
                <w:rFonts w:hint="default" w:ascii="Times New Roman" w:hAnsi="Times New Roman" w:eastAsia="宋体" w:cs="Times New Roman"/>
                <w:color w:val="FF0000"/>
                <w:sz w:val="20"/>
                <w:szCs w:val="20"/>
                <w:lang w:val="en-US" w:eastAsia="zh-CN"/>
              </w:rPr>
            </w:pPr>
            <w:r>
              <w:rPr>
                <w:rFonts w:hint="default" w:ascii="Times New Roman" w:hAnsi="Times New Roman" w:cs="Times New Roman"/>
                <w:sz w:val="20"/>
                <w:szCs w:val="20"/>
                <w:lang w:val="en-US" w:eastAsia="zh-CN"/>
              </w:rPr>
              <w:t>3800</w:t>
            </w:r>
          </w:p>
        </w:tc>
        <w:tc>
          <w:tcPr>
            <w:tcW w:w="313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744C025">
            <w:pPr>
              <w:keepNext w:val="0"/>
              <w:keepLines w:val="0"/>
              <w:pageBreakBefore w:val="0"/>
              <w:widowControl/>
              <w:kinsoku w:val="0"/>
              <w:wordWrap/>
              <w:overflowPunct/>
              <w:topLinePunct w:val="0"/>
              <w:autoSpaceDE w:val="0"/>
              <w:autoSpaceDN w:val="0"/>
              <w:bidi w:val="0"/>
              <w:adjustRightInd w:val="0"/>
              <w:snapToGrid w:val="0"/>
              <w:spacing w:line="195" w:lineRule="auto"/>
              <w:ind w:left="0" w:leftChars="0"/>
              <w:jc w:val="center"/>
              <w:textAlignment w:val="baseline"/>
              <w:rPr>
                <w:rFonts w:hint="default" w:ascii="Times New Roman" w:hAnsi="Times New Roman" w:eastAsia="宋体" w:cs="Times New Roman"/>
                <w:color w:val="FF0000"/>
                <w:sz w:val="20"/>
                <w:szCs w:val="20"/>
                <w:lang w:val="en-US" w:eastAsia="zh-CN"/>
              </w:rPr>
            </w:pPr>
            <w:r>
              <w:rPr>
                <w:rFonts w:hint="eastAsia" w:ascii="Times New Roman" w:hAnsi="Times New Roman" w:eastAsia="宋体" w:cs="Times New Roman"/>
                <w:snapToGrid w:val="0"/>
                <w:color w:val="000000"/>
                <w:spacing w:val="6"/>
                <w:kern w:val="0"/>
                <w:sz w:val="20"/>
                <w:szCs w:val="20"/>
                <w:lang w:val="en-US" w:eastAsia="zh-CN" w:bidi="ar-SA"/>
              </w:rPr>
              <w:t>38.44</w:t>
            </w:r>
          </w:p>
        </w:tc>
      </w:tr>
      <w:tr w14:paraId="5C875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527" w:hRule="atLeast"/>
        </w:trPr>
        <w:tc>
          <w:tcPr>
            <w:tcW w:w="1950" w:type="dxa"/>
            <w:tcBorders>
              <w:top w:val="single" w:color="000000" w:sz="2" w:space="0"/>
              <w:left w:val="single" w:color="000000" w:sz="2" w:space="0"/>
              <w:right w:val="single" w:color="000000" w:sz="2" w:space="0"/>
            </w:tcBorders>
            <w:shd w:val="clear" w:color="auto" w:fill="auto"/>
            <w:vAlign w:val="center"/>
          </w:tcPr>
          <w:p w14:paraId="1BA0F6C5">
            <w:pPr>
              <w:pStyle w:val="9"/>
              <w:spacing w:before="54" w:line="262" w:lineRule="auto"/>
              <w:ind w:left="36" w:right="25"/>
              <w:jc w:val="center"/>
              <w:rPr>
                <w:rFonts w:hint="default" w:ascii="Times New Roman" w:hAnsi="Times New Roman" w:eastAsia="宋体" w:cs="Times New Roman"/>
                <w:sz w:val="20"/>
                <w:szCs w:val="20"/>
                <w:lang w:eastAsia="zh-CN"/>
              </w:rPr>
            </w:pPr>
            <w:r>
              <w:rPr>
                <w:rFonts w:hint="default" w:ascii="Times New Roman" w:hAnsi="Times New Roman" w:cs="Times New Roman"/>
                <w:sz w:val="20"/>
                <w:szCs w:val="20"/>
                <w:lang w:eastAsia="zh-CN"/>
              </w:rPr>
              <w:t>合计</w:t>
            </w:r>
          </w:p>
        </w:tc>
        <w:tc>
          <w:tcPr>
            <w:tcW w:w="1995" w:type="dxa"/>
            <w:tcBorders>
              <w:top w:val="single" w:color="000000" w:sz="2" w:space="0"/>
              <w:left w:val="single" w:color="000000" w:sz="2" w:space="0"/>
              <w:right w:val="single" w:color="000000" w:sz="2" w:space="0"/>
            </w:tcBorders>
            <w:shd w:val="clear" w:color="auto" w:fill="auto"/>
            <w:vAlign w:val="center"/>
          </w:tcPr>
          <w:p w14:paraId="16EF28CE">
            <w:pPr>
              <w:pStyle w:val="9"/>
              <w:keepNext w:val="0"/>
              <w:keepLines w:val="0"/>
              <w:pageBreakBefore w:val="0"/>
              <w:widowControl/>
              <w:kinsoku w:val="0"/>
              <w:wordWrap/>
              <w:overflowPunct/>
              <w:topLinePunct w:val="0"/>
              <w:autoSpaceDE w:val="0"/>
              <w:autoSpaceDN w:val="0"/>
              <w:bidi w:val="0"/>
              <w:adjustRightInd w:val="0"/>
              <w:snapToGrid w:val="0"/>
              <w:spacing w:line="228" w:lineRule="auto"/>
              <w:ind w:left="0" w:leftChars="0"/>
              <w:jc w:val="center"/>
              <w:textAlignment w:val="baseline"/>
              <w:rPr>
                <w:rFonts w:hint="default" w:ascii="Times New Roman" w:hAnsi="Times New Roman" w:eastAsia="宋体" w:cs="Times New Roman"/>
                <w:color w:val="FF0000"/>
                <w:sz w:val="20"/>
                <w:szCs w:val="20"/>
                <w:lang w:val="en-US" w:eastAsia="zh-CN"/>
              </w:rPr>
            </w:pPr>
            <w:r>
              <w:rPr>
                <w:rFonts w:hint="eastAsia" w:ascii="Times New Roman" w:hAnsi="Times New Roman" w:cs="Times New Roman"/>
                <w:sz w:val="20"/>
                <w:szCs w:val="20"/>
                <w:lang w:val="en-US" w:eastAsia="zh-CN"/>
              </w:rPr>
              <w:t>19769.1112</w:t>
            </w:r>
          </w:p>
        </w:tc>
        <w:tc>
          <w:tcPr>
            <w:tcW w:w="1935" w:type="dxa"/>
            <w:tcBorders>
              <w:top w:val="single" w:color="000000" w:sz="2" w:space="0"/>
              <w:left w:val="single" w:color="000000" w:sz="2" w:space="0"/>
              <w:right w:val="single" w:color="000000" w:sz="2" w:space="0"/>
            </w:tcBorders>
            <w:shd w:val="clear" w:color="auto" w:fill="auto"/>
            <w:vAlign w:val="center"/>
          </w:tcPr>
          <w:p w14:paraId="3183FCD4">
            <w:pPr>
              <w:pStyle w:val="9"/>
              <w:keepNext w:val="0"/>
              <w:keepLines w:val="0"/>
              <w:pageBreakBefore w:val="0"/>
              <w:widowControl/>
              <w:kinsoku w:val="0"/>
              <w:wordWrap/>
              <w:overflowPunct/>
              <w:topLinePunct w:val="0"/>
              <w:autoSpaceDE w:val="0"/>
              <w:autoSpaceDN w:val="0"/>
              <w:bidi w:val="0"/>
              <w:adjustRightInd w:val="0"/>
              <w:snapToGrid w:val="0"/>
              <w:spacing w:line="228" w:lineRule="auto"/>
              <w:ind w:left="0" w:leftChars="0"/>
              <w:jc w:val="center"/>
              <w:textAlignment w:val="baseline"/>
              <w:rPr>
                <w:rFonts w:hint="default" w:ascii="Times New Roman" w:hAnsi="Times New Roman" w:eastAsia="宋体" w:cs="Times New Roman"/>
                <w:color w:val="FF0000"/>
                <w:sz w:val="20"/>
                <w:szCs w:val="20"/>
                <w:lang w:val="en-US" w:eastAsia="zh-CN"/>
              </w:rPr>
            </w:pPr>
            <w:r>
              <w:rPr>
                <w:rFonts w:hint="eastAsia" w:ascii="Times New Roman" w:hAnsi="Times New Roman" w:cs="Times New Roman"/>
                <w:sz w:val="20"/>
                <w:szCs w:val="20"/>
                <w:lang w:val="en-US" w:eastAsia="zh-CN"/>
              </w:rPr>
              <w:t>8000</w:t>
            </w:r>
          </w:p>
        </w:tc>
        <w:tc>
          <w:tcPr>
            <w:tcW w:w="3135" w:type="dxa"/>
            <w:tcBorders>
              <w:top w:val="single" w:color="000000" w:sz="2" w:space="0"/>
              <w:left w:val="single" w:color="000000" w:sz="2" w:space="0"/>
              <w:right w:val="single" w:color="000000" w:sz="2" w:space="0"/>
            </w:tcBorders>
            <w:shd w:val="clear" w:color="auto" w:fill="auto"/>
            <w:vAlign w:val="center"/>
          </w:tcPr>
          <w:p w14:paraId="6FC02EF7">
            <w:pPr>
              <w:keepNext w:val="0"/>
              <w:keepLines w:val="0"/>
              <w:pageBreakBefore w:val="0"/>
              <w:widowControl/>
              <w:kinsoku w:val="0"/>
              <w:wordWrap/>
              <w:overflowPunct/>
              <w:topLinePunct w:val="0"/>
              <w:autoSpaceDE w:val="0"/>
              <w:autoSpaceDN w:val="0"/>
              <w:bidi w:val="0"/>
              <w:adjustRightInd w:val="0"/>
              <w:snapToGrid w:val="0"/>
              <w:spacing w:line="195" w:lineRule="auto"/>
              <w:ind w:left="0" w:leftChars="0"/>
              <w:jc w:val="center"/>
              <w:textAlignment w:val="baseline"/>
              <w:rPr>
                <w:rFonts w:hint="default" w:ascii="Times New Roman" w:hAnsi="Times New Roman" w:eastAsia="宋体" w:cs="Times New Roman"/>
                <w:color w:val="FF0000"/>
                <w:sz w:val="20"/>
                <w:szCs w:val="20"/>
                <w:lang w:eastAsia="zh-CN"/>
              </w:rPr>
            </w:pPr>
            <w:r>
              <w:rPr>
                <w:rFonts w:hint="default" w:ascii="Times New Roman" w:hAnsi="Times New Roman" w:cs="Times New Roman"/>
                <w:color w:val="auto"/>
                <w:kern w:val="0"/>
                <w:sz w:val="20"/>
                <w:szCs w:val="20"/>
                <w:lang w:eastAsia="zh-CN"/>
              </w:rPr>
              <w:t>—</w:t>
            </w:r>
          </w:p>
        </w:tc>
      </w:tr>
    </w:tbl>
    <w:p w14:paraId="231063DE">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60" w:firstLineChars="200"/>
        <w:textAlignment w:val="baseline"/>
        <w:rPr>
          <w:rFonts w:hint="eastAsia" w:ascii="楷体_GB2312" w:hAnsi="楷体_GB2312" w:eastAsia="楷体_GB2312" w:cs="楷体_GB2312"/>
          <w:b w:val="0"/>
          <w:bCs w:val="0"/>
          <w:spacing w:val="5"/>
          <w:sz w:val="32"/>
          <w:szCs w:val="32"/>
        </w:rPr>
      </w:pPr>
    </w:p>
    <w:p w14:paraId="78DF78FD">
      <w:pPr>
        <w:pStyle w:val="3"/>
        <w:spacing w:before="254" w:line="299" w:lineRule="auto"/>
        <w:ind w:right="400"/>
        <w:jc w:val="center"/>
        <w:rPr>
          <w:rFonts w:hint="eastAsia" w:ascii="黑体" w:hAnsi="黑体" w:eastAsia="黑体" w:cs="黑体"/>
          <w:highlight w:val="none"/>
          <w:lang w:eastAsia="zh-CN"/>
        </w:rPr>
      </w:pPr>
      <w:r>
        <w:rPr>
          <w:rFonts w:ascii="黑体" w:hAnsi="黑体" w:eastAsia="黑体" w:cs="黑体"/>
          <w:spacing w:val="8"/>
          <w:highlight w:val="none"/>
        </w:rPr>
        <w:t>第</w:t>
      </w:r>
      <w:r>
        <w:rPr>
          <w:rFonts w:hint="eastAsia" w:ascii="黑体" w:hAnsi="黑体" w:eastAsia="黑体" w:cs="黑体"/>
          <w:spacing w:val="8"/>
          <w:highlight w:val="none"/>
          <w:lang w:eastAsia="zh-CN"/>
        </w:rPr>
        <w:t>四</w:t>
      </w:r>
      <w:r>
        <w:rPr>
          <w:rFonts w:ascii="黑体" w:hAnsi="黑体" w:eastAsia="黑体" w:cs="黑体"/>
          <w:spacing w:val="8"/>
          <w:highlight w:val="none"/>
        </w:rPr>
        <w:t>节 关联方交易情况</w:t>
      </w:r>
    </w:p>
    <w:p w14:paraId="6DEE0AC5">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60" w:firstLineChars="200"/>
        <w:textAlignment w:val="baseline"/>
        <w:rPr>
          <w:rFonts w:hint="eastAsia" w:ascii="楷体" w:hAnsi="楷体" w:eastAsia="楷体" w:cs="楷体"/>
          <w:b w:val="0"/>
          <w:bCs w:val="0"/>
          <w:spacing w:val="5"/>
          <w:sz w:val="32"/>
          <w:szCs w:val="32"/>
        </w:rPr>
      </w:pPr>
      <w:r>
        <w:rPr>
          <w:rFonts w:hint="eastAsia" w:ascii="楷体" w:hAnsi="楷体" w:eastAsia="楷体" w:cs="楷体"/>
          <w:b w:val="0"/>
          <w:bCs w:val="0"/>
          <w:spacing w:val="5"/>
          <w:sz w:val="32"/>
          <w:szCs w:val="32"/>
        </w:rPr>
        <w:t>（一）关联方</w:t>
      </w:r>
    </w:p>
    <w:p w14:paraId="2B7B9FA4">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val="en-US" w:eastAsia="zh-CN"/>
        </w:rPr>
        <w:t>本行的关联方包括持有本行5%及5%以上股份的股东，本行董事、监事、高级管理人员及与其关系密切的家庭成员（以下简称“关键管理人员及其近亲属”），关键管理人员及其近亲属直接、间接、共同控制或可施加重大影响的法人或其他组织（以下简称“关键管理人员的关联单位”），本行的子公司、联营公司，以及持有本行5%及5%以上股份股东的控股股东及其控股子公司和施加重大影响的企业（以下简称“主要股东的关联法人”），持有本行5%及5%以上股份股东的董事、监事、高级管理人员（以下简称“主要股东的关联自然人”）。</w:t>
      </w:r>
    </w:p>
    <w:p w14:paraId="469EBF68">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60" w:firstLineChars="200"/>
        <w:textAlignment w:val="baseline"/>
        <w:rPr>
          <w:rFonts w:hint="default" w:ascii="Times New Roman" w:hAnsi="Times New Roman" w:eastAsia="楷体" w:cs="Times New Roman"/>
          <w:b w:val="0"/>
          <w:bCs w:val="0"/>
          <w:spacing w:val="5"/>
          <w:sz w:val="32"/>
          <w:szCs w:val="32"/>
        </w:rPr>
      </w:pPr>
      <w:r>
        <w:rPr>
          <w:rFonts w:hint="default" w:ascii="Times New Roman" w:hAnsi="Times New Roman" w:eastAsia="楷体" w:cs="Times New Roman"/>
          <w:b w:val="0"/>
          <w:bCs w:val="0"/>
          <w:spacing w:val="5"/>
          <w:sz w:val="32"/>
          <w:szCs w:val="32"/>
          <w:lang w:eastAsia="zh-CN"/>
        </w:rPr>
        <w:t>（二）</w:t>
      </w:r>
      <w:r>
        <w:rPr>
          <w:rFonts w:hint="default" w:ascii="Times New Roman" w:hAnsi="Times New Roman" w:eastAsia="楷体" w:cs="Times New Roman"/>
          <w:b w:val="0"/>
          <w:bCs w:val="0"/>
          <w:spacing w:val="5"/>
          <w:sz w:val="32"/>
          <w:szCs w:val="32"/>
        </w:rPr>
        <w:t>本行持股5%及以上股份的股东情况</w:t>
      </w:r>
    </w:p>
    <w:tbl>
      <w:tblPr>
        <w:tblStyle w:val="6"/>
        <w:tblW w:w="85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90"/>
        <w:gridCol w:w="1140"/>
        <w:gridCol w:w="1950"/>
        <w:gridCol w:w="1095"/>
        <w:gridCol w:w="1055"/>
        <w:gridCol w:w="1440"/>
      </w:tblGrid>
      <w:tr w14:paraId="4BC8B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890" w:type="dxa"/>
            <w:tcBorders>
              <w:top w:val="single" w:color="000000" w:sz="8" w:space="0"/>
              <w:left w:val="single" w:color="000000" w:sz="8" w:space="0"/>
              <w:bottom w:val="single" w:color="000000" w:sz="4" w:space="0"/>
              <w:right w:val="single" w:color="000000" w:sz="4" w:space="0"/>
            </w:tcBorders>
            <w:shd w:val="clear" w:color="auto" w:fill="0070C0"/>
            <w:vAlign w:val="center"/>
          </w:tcPr>
          <w:p w14:paraId="450F11FB">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股东名称</w:t>
            </w:r>
          </w:p>
        </w:tc>
        <w:tc>
          <w:tcPr>
            <w:tcW w:w="1140"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79DDFC76">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注册地</w:t>
            </w:r>
          </w:p>
        </w:tc>
        <w:tc>
          <w:tcPr>
            <w:tcW w:w="1950"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63DB9158">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主营业务</w:t>
            </w:r>
          </w:p>
        </w:tc>
        <w:tc>
          <w:tcPr>
            <w:tcW w:w="1095"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7B82598B">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注册资本 （万元）</w:t>
            </w:r>
          </w:p>
        </w:tc>
        <w:tc>
          <w:tcPr>
            <w:tcW w:w="1055"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5C2740BA">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持股数</w:t>
            </w:r>
          </w:p>
          <w:p w14:paraId="2EFF8635">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（万股）</w:t>
            </w:r>
          </w:p>
        </w:tc>
        <w:tc>
          <w:tcPr>
            <w:tcW w:w="1440" w:type="dxa"/>
            <w:tcBorders>
              <w:top w:val="single" w:color="000000" w:sz="8" w:space="0"/>
              <w:left w:val="single" w:color="000000" w:sz="4" w:space="0"/>
              <w:bottom w:val="single" w:color="000000" w:sz="4" w:space="0"/>
              <w:right w:val="single" w:color="000000" w:sz="8" w:space="0"/>
            </w:tcBorders>
            <w:shd w:val="clear" w:color="auto" w:fill="0070C0"/>
            <w:vAlign w:val="center"/>
          </w:tcPr>
          <w:p w14:paraId="40B804DF">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持股比例(%)</w:t>
            </w:r>
          </w:p>
        </w:tc>
      </w:tr>
      <w:tr w14:paraId="2D73D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B03EAD9">
            <w:pPr>
              <w:keepNext w:val="0"/>
              <w:keepLines w:val="0"/>
              <w:widowControl/>
              <w:suppressLineNumbers w:val="0"/>
              <w:jc w:val="center"/>
              <w:textAlignment w:val="center"/>
              <w:rPr>
                <w:rFonts w:ascii="Arial" w:hAnsi="Arial" w:eastAsia="宋体" w:cs="Arial"/>
                <w:i w:val="0"/>
                <w:iCs w:val="0"/>
                <w:color w:val="000000"/>
                <w:sz w:val="18"/>
                <w:szCs w:val="18"/>
                <w:u w:val="none"/>
              </w:rPr>
            </w:pPr>
            <w:r>
              <w:rPr>
                <w:rFonts w:hint="default" w:ascii="Arial" w:hAnsi="Arial" w:eastAsia="宋体" w:cs="Arial"/>
                <w:i w:val="0"/>
                <w:iCs w:val="0"/>
                <w:snapToGrid w:val="0"/>
                <w:color w:val="000000"/>
                <w:kern w:val="0"/>
                <w:sz w:val="18"/>
                <w:szCs w:val="18"/>
                <w:u w:val="none"/>
                <w:lang w:val="en-US" w:eastAsia="zh-CN" w:bidi="ar"/>
              </w:rPr>
              <w:t>金绣集团有限公司</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399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浙江义乌</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F01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丝编制品制造与销售、实业投资等</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5D2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11000</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D0451">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9413.86</w:t>
            </w:r>
          </w:p>
        </w:tc>
        <w:tc>
          <w:tcPr>
            <w:tcW w:w="144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7CAE411">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5.04</w:t>
            </w:r>
          </w:p>
        </w:tc>
      </w:tr>
      <w:tr w14:paraId="54EA4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E8A07BE">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snapToGrid w:val="0"/>
                <w:color w:val="000000"/>
                <w:kern w:val="0"/>
                <w:sz w:val="18"/>
                <w:szCs w:val="18"/>
                <w:u w:val="none"/>
                <w:lang w:val="en-US" w:eastAsia="zh-CN" w:bidi="ar"/>
              </w:rPr>
              <w:t>真爱集团有限公司</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C7C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浙江义乌</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845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纺织品制造与销售、实业投资等</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A83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53588</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CABB9">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9413.86</w:t>
            </w:r>
          </w:p>
        </w:tc>
        <w:tc>
          <w:tcPr>
            <w:tcW w:w="144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FB45A7D">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5.02</w:t>
            </w:r>
          </w:p>
        </w:tc>
      </w:tr>
      <w:tr w14:paraId="6FA57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0EEA800">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snapToGrid w:val="0"/>
                <w:color w:val="000000"/>
                <w:kern w:val="0"/>
                <w:sz w:val="18"/>
                <w:szCs w:val="18"/>
                <w:u w:val="none"/>
                <w:lang w:val="en-US" w:eastAsia="zh-CN" w:bidi="ar"/>
              </w:rPr>
              <w:t>华统集团有限公司</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354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浙江义乌</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62D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实业投资、企业总部管理等</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A8E3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50097.5</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E438">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9413.86</w:t>
            </w:r>
          </w:p>
        </w:tc>
        <w:tc>
          <w:tcPr>
            <w:tcW w:w="144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12745E6">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5.01</w:t>
            </w:r>
          </w:p>
        </w:tc>
      </w:tr>
      <w:tr w14:paraId="75A82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D0D9257">
            <w:pPr>
              <w:keepNext w:val="0"/>
              <w:keepLines w:val="0"/>
              <w:widowControl/>
              <w:suppressLineNumbers w:val="0"/>
              <w:jc w:val="center"/>
              <w:textAlignment w:val="center"/>
              <w:rPr>
                <w:rFonts w:hint="eastAsia" w:eastAsia="宋体" w:cs="Arial"/>
                <w:i w:val="0"/>
                <w:iCs w:val="0"/>
                <w:snapToGrid w:val="0"/>
                <w:color w:val="auto"/>
                <w:kern w:val="0"/>
                <w:sz w:val="18"/>
                <w:szCs w:val="18"/>
                <w:u w:val="none"/>
                <w:lang w:val="en-US" w:eastAsia="zh-CN" w:bidi="ar"/>
              </w:rPr>
            </w:pPr>
            <w:r>
              <w:rPr>
                <w:rFonts w:hint="default" w:ascii="Arial" w:hAnsi="Arial" w:eastAsia="宋体" w:cs="Arial"/>
                <w:i w:val="0"/>
                <w:iCs w:val="0"/>
                <w:snapToGrid w:val="0"/>
                <w:color w:val="auto"/>
                <w:kern w:val="0"/>
                <w:sz w:val="18"/>
                <w:szCs w:val="18"/>
                <w:u w:val="none"/>
                <w:lang w:val="en-US" w:eastAsia="zh-CN" w:bidi="ar"/>
              </w:rPr>
              <w:t>浙江省财开</w:t>
            </w:r>
            <w:r>
              <w:rPr>
                <w:rFonts w:hint="eastAsia" w:eastAsia="宋体" w:cs="Arial"/>
                <w:i w:val="0"/>
                <w:iCs w:val="0"/>
                <w:snapToGrid w:val="0"/>
                <w:color w:val="auto"/>
                <w:kern w:val="0"/>
                <w:sz w:val="18"/>
                <w:szCs w:val="18"/>
                <w:u w:val="none"/>
                <w:lang w:val="en-US" w:eastAsia="zh-CN" w:bidi="ar"/>
              </w:rPr>
              <w:t>集团</w:t>
            </w:r>
          </w:p>
          <w:p w14:paraId="470CE037">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snapToGrid w:val="0"/>
                <w:color w:val="auto"/>
                <w:kern w:val="0"/>
                <w:sz w:val="18"/>
                <w:szCs w:val="18"/>
                <w:u w:val="none"/>
                <w:lang w:val="en-US" w:eastAsia="zh-CN" w:bidi="ar"/>
              </w:rPr>
              <w:t>有限公司</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37C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浙江杭州</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DB4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管理运营政策性、功能性、财政性资产</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7AF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500000</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845C8">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9413.86</w:t>
            </w:r>
          </w:p>
        </w:tc>
        <w:tc>
          <w:tcPr>
            <w:tcW w:w="144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D8802A3">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5</w:t>
            </w:r>
          </w:p>
        </w:tc>
      </w:tr>
      <w:tr w14:paraId="0E01B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890" w:type="dxa"/>
            <w:tcBorders>
              <w:top w:val="single" w:color="000000" w:sz="4" w:space="0"/>
              <w:left w:val="single" w:color="000000" w:sz="8" w:space="0"/>
              <w:bottom w:val="single" w:color="000000" w:sz="8" w:space="0"/>
              <w:right w:val="single" w:color="000000" w:sz="4" w:space="0"/>
            </w:tcBorders>
            <w:shd w:val="clear" w:color="auto" w:fill="auto"/>
            <w:vAlign w:val="center"/>
          </w:tcPr>
          <w:p w14:paraId="5FDD57E1">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snapToGrid w:val="0"/>
                <w:color w:val="000000"/>
                <w:kern w:val="0"/>
                <w:sz w:val="18"/>
                <w:szCs w:val="18"/>
                <w:u w:val="none"/>
                <w:lang w:val="en-US" w:eastAsia="zh-CN" w:bidi="ar"/>
              </w:rPr>
              <w:t>义乌市国有资本运营有限公司</w:t>
            </w:r>
          </w:p>
        </w:tc>
        <w:tc>
          <w:tcPr>
            <w:tcW w:w="114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2A0A63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浙江义乌</w:t>
            </w:r>
          </w:p>
        </w:tc>
        <w:tc>
          <w:tcPr>
            <w:tcW w:w="195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7920D3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国有资本经营和国有股权管理</w:t>
            </w:r>
          </w:p>
        </w:tc>
        <w:tc>
          <w:tcPr>
            <w:tcW w:w="109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2DB944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198000</w:t>
            </w:r>
          </w:p>
        </w:tc>
        <w:tc>
          <w:tcPr>
            <w:tcW w:w="105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7AB9D732">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9413.86</w:t>
            </w:r>
          </w:p>
        </w:tc>
        <w:tc>
          <w:tcPr>
            <w:tcW w:w="1440" w:type="dxa"/>
            <w:tcBorders>
              <w:top w:val="single" w:color="000000" w:sz="4" w:space="0"/>
              <w:left w:val="single" w:color="000000" w:sz="4" w:space="0"/>
              <w:bottom w:val="single" w:color="000000" w:sz="8" w:space="0"/>
              <w:right w:val="single" w:color="000000" w:sz="8" w:space="0"/>
            </w:tcBorders>
            <w:shd w:val="clear" w:color="auto" w:fill="auto"/>
            <w:vAlign w:val="center"/>
          </w:tcPr>
          <w:p w14:paraId="1530E451">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5</w:t>
            </w:r>
          </w:p>
        </w:tc>
      </w:tr>
    </w:tbl>
    <w:p w14:paraId="67C954CB">
      <w:pPr>
        <w:spacing w:line="14" w:lineRule="exact"/>
      </w:pPr>
    </w:p>
    <w:p w14:paraId="02E987AB">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60" w:firstLineChars="200"/>
        <w:textAlignment w:val="baseline"/>
        <w:rPr>
          <w:rFonts w:hint="eastAsia" w:ascii="Times New Roman" w:hAnsi="Times New Roman" w:eastAsia="楷体" w:cs="Times New Roman"/>
          <w:b w:val="0"/>
          <w:bCs w:val="0"/>
          <w:spacing w:val="5"/>
          <w:sz w:val="32"/>
          <w:szCs w:val="32"/>
        </w:rPr>
      </w:pPr>
      <w:r>
        <w:rPr>
          <w:rFonts w:hint="eastAsia" w:ascii="Times New Roman" w:hAnsi="Times New Roman" w:eastAsia="楷体" w:cs="Times New Roman"/>
          <w:b w:val="0"/>
          <w:bCs w:val="0"/>
          <w:spacing w:val="5"/>
          <w:sz w:val="32"/>
          <w:szCs w:val="32"/>
          <w:lang w:eastAsia="zh-CN"/>
        </w:rPr>
        <w:t>（三）</w:t>
      </w:r>
      <w:r>
        <w:rPr>
          <w:rFonts w:hint="eastAsia" w:ascii="Times New Roman" w:hAnsi="Times New Roman" w:eastAsia="楷体" w:cs="Times New Roman"/>
          <w:b w:val="0"/>
          <w:bCs w:val="0"/>
          <w:spacing w:val="5"/>
          <w:sz w:val="32"/>
          <w:szCs w:val="32"/>
        </w:rPr>
        <w:t>本行的子公司情况</w:t>
      </w:r>
    </w:p>
    <w:tbl>
      <w:tblPr>
        <w:tblStyle w:val="6"/>
        <w:tblW w:w="85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90"/>
        <w:gridCol w:w="1140"/>
        <w:gridCol w:w="1950"/>
        <w:gridCol w:w="1095"/>
        <w:gridCol w:w="1035"/>
        <w:gridCol w:w="1460"/>
      </w:tblGrid>
      <w:tr w14:paraId="20E87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890" w:type="dxa"/>
            <w:tcBorders>
              <w:top w:val="single" w:color="000000" w:sz="8" w:space="0"/>
              <w:left w:val="single" w:color="000000" w:sz="8" w:space="0"/>
              <w:bottom w:val="single" w:color="000000" w:sz="4" w:space="0"/>
              <w:right w:val="single" w:color="000000" w:sz="4" w:space="0"/>
            </w:tcBorders>
            <w:shd w:val="clear" w:color="auto" w:fill="0070C0"/>
            <w:vAlign w:val="center"/>
          </w:tcPr>
          <w:p w14:paraId="0744192A">
            <w:pPr>
              <w:keepNext w:val="0"/>
              <w:keepLines w:val="0"/>
              <w:widowControl/>
              <w:suppressLineNumbers w:val="0"/>
              <w:jc w:val="center"/>
              <w:textAlignment w:val="center"/>
              <w:rPr>
                <w:rFonts w:hint="eastAsia" w:ascii="宋体" w:hAnsi="宋体" w:eastAsia="宋体" w:cs="宋体"/>
                <w:i w:val="0"/>
                <w:iCs w:val="0"/>
                <w:color w:val="FFFFFF"/>
                <w:sz w:val="20"/>
                <w:szCs w:val="20"/>
                <w:u w:val="none"/>
              </w:rPr>
            </w:pPr>
            <w:r>
              <w:rPr>
                <w:rFonts w:hint="eastAsia" w:ascii="宋体" w:hAnsi="宋体" w:eastAsia="宋体" w:cs="宋体"/>
                <w:snapToGrid w:val="0"/>
                <w:color w:val="FFFFFF"/>
                <w:spacing w:val="7"/>
                <w:kern w:val="0"/>
                <w:sz w:val="20"/>
                <w:szCs w:val="20"/>
                <w:lang w:val="en-US" w:eastAsia="zh-CN" w:bidi="ar-SA"/>
              </w:rPr>
              <w:t>企业名称</w:t>
            </w:r>
          </w:p>
        </w:tc>
        <w:tc>
          <w:tcPr>
            <w:tcW w:w="1140"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2907310F">
            <w:pPr>
              <w:keepNext w:val="0"/>
              <w:keepLines w:val="0"/>
              <w:widowControl/>
              <w:suppressLineNumbers w:val="0"/>
              <w:jc w:val="center"/>
              <w:textAlignment w:val="center"/>
              <w:rPr>
                <w:rFonts w:hint="eastAsia" w:ascii="宋体" w:hAnsi="宋体" w:eastAsia="宋体" w:cs="宋体"/>
                <w:i w:val="0"/>
                <w:iCs w:val="0"/>
                <w:color w:val="FFFFFF"/>
                <w:sz w:val="20"/>
                <w:szCs w:val="20"/>
                <w:u w:val="none"/>
              </w:rPr>
            </w:pPr>
            <w:r>
              <w:rPr>
                <w:rFonts w:hint="eastAsia" w:ascii="宋体" w:hAnsi="宋体" w:eastAsia="宋体" w:cs="宋体"/>
                <w:snapToGrid w:val="0"/>
                <w:color w:val="FFFFFF"/>
                <w:spacing w:val="7"/>
                <w:kern w:val="0"/>
                <w:sz w:val="20"/>
                <w:szCs w:val="20"/>
                <w:lang w:val="en-US" w:eastAsia="zh-CN" w:bidi="ar-SA"/>
              </w:rPr>
              <w:t>注册地</w:t>
            </w:r>
          </w:p>
        </w:tc>
        <w:tc>
          <w:tcPr>
            <w:tcW w:w="1950"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2EF179F5">
            <w:pPr>
              <w:keepNext w:val="0"/>
              <w:keepLines w:val="0"/>
              <w:widowControl/>
              <w:suppressLineNumbers w:val="0"/>
              <w:jc w:val="center"/>
              <w:textAlignment w:val="center"/>
              <w:rPr>
                <w:rFonts w:hint="eastAsia" w:ascii="宋体" w:hAnsi="宋体" w:eastAsia="宋体" w:cs="宋体"/>
                <w:i w:val="0"/>
                <w:iCs w:val="0"/>
                <w:color w:val="FFFFFF"/>
                <w:sz w:val="20"/>
                <w:szCs w:val="20"/>
                <w:u w:val="none"/>
              </w:rPr>
            </w:pPr>
            <w:r>
              <w:rPr>
                <w:rFonts w:hint="eastAsia" w:ascii="宋体" w:hAnsi="宋体" w:eastAsia="宋体" w:cs="宋体"/>
                <w:snapToGrid w:val="0"/>
                <w:color w:val="FFFFFF"/>
                <w:spacing w:val="7"/>
                <w:kern w:val="0"/>
                <w:sz w:val="20"/>
                <w:szCs w:val="20"/>
                <w:lang w:val="en-US" w:eastAsia="zh-CN" w:bidi="ar-SA"/>
              </w:rPr>
              <w:t>业务性质</w:t>
            </w:r>
          </w:p>
        </w:tc>
        <w:tc>
          <w:tcPr>
            <w:tcW w:w="1095"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14224E3C">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注册资本（万元）</w:t>
            </w:r>
          </w:p>
        </w:tc>
        <w:tc>
          <w:tcPr>
            <w:tcW w:w="1035"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590523C0">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持股比例（%）</w:t>
            </w:r>
          </w:p>
        </w:tc>
        <w:tc>
          <w:tcPr>
            <w:tcW w:w="1460" w:type="dxa"/>
            <w:tcBorders>
              <w:top w:val="single" w:color="000000" w:sz="8" w:space="0"/>
              <w:left w:val="single" w:color="000000" w:sz="4" w:space="0"/>
              <w:bottom w:val="single" w:color="000000" w:sz="4" w:space="0"/>
              <w:right w:val="single" w:color="000000" w:sz="8" w:space="0"/>
            </w:tcBorders>
            <w:shd w:val="clear" w:color="auto" w:fill="0070C0"/>
            <w:vAlign w:val="center"/>
          </w:tcPr>
          <w:p w14:paraId="2C642EA2">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投资额</w:t>
            </w:r>
          </w:p>
          <w:p w14:paraId="1378E3F2">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（万元）</w:t>
            </w:r>
          </w:p>
        </w:tc>
      </w:tr>
      <w:tr w14:paraId="19D8F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890" w:type="dxa"/>
            <w:tcBorders>
              <w:top w:val="single" w:color="000000" w:sz="4" w:space="0"/>
              <w:left w:val="single" w:color="000000" w:sz="8" w:space="0"/>
              <w:bottom w:val="single" w:color="000000" w:sz="8" w:space="0"/>
              <w:right w:val="single" w:color="000000" w:sz="4" w:space="0"/>
            </w:tcBorders>
            <w:shd w:val="clear" w:color="auto" w:fill="auto"/>
            <w:vAlign w:val="center"/>
          </w:tcPr>
          <w:p w14:paraId="0664F6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浙江龙游义商村 镇银行有限公司</w:t>
            </w:r>
          </w:p>
        </w:tc>
        <w:tc>
          <w:tcPr>
            <w:tcW w:w="114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01CF32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浙江龙游</w:t>
            </w:r>
          </w:p>
        </w:tc>
        <w:tc>
          <w:tcPr>
            <w:tcW w:w="195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72EFBE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金融业</w:t>
            </w:r>
          </w:p>
        </w:tc>
        <w:tc>
          <w:tcPr>
            <w:tcW w:w="109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0B5526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11000</w:t>
            </w:r>
          </w:p>
        </w:tc>
        <w:tc>
          <w:tcPr>
            <w:tcW w:w="103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1606B31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snapToGrid w:val="0"/>
                <w:color w:val="auto"/>
                <w:kern w:val="0"/>
                <w:sz w:val="20"/>
                <w:szCs w:val="20"/>
                <w:highlight w:val="none"/>
                <w:u w:val="none"/>
                <w:lang w:val="en-US" w:eastAsia="zh-CN" w:bidi="ar"/>
              </w:rPr>
              <w:t>81.3125%</w:t>
            </w:r>
          </w:p>
        </w:tc>
        <w:tc>
          <w:tcPr>
            <w:tcW w:w="1460" w:type="dxa"/>
            <w:tcBorders>
              <w:top w:val="single" w:color="000000" w:sz="4" w:space="0"/>
              <w:left w:val="single" w:color="000000" w:sz="4" w:space="0"/>
              <w:bottom w:val="single" w:color="000000" w:sz="8" w:space="0"/>
              <w:right w:val="single" w:color="000000" w:sz="8" w:space="0"/>
            </w:tcBorders>
            <w:shd w:val="clear" w:color="auto" w:fill="auto"/>
            <w:vAlign w:val="center"/>
          </w:tcPr>
          <w:p w14:paraId="2019FFC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eastAsia" w:ascii="Times New Roman" w:hAnsi="Times New Roman" w:eastAsia="宋体" w:cs="Times New Roman"/>
                <w:i w:val="0"/>
                <w:iCs w:val="0"/>
                <w:snapToGrid w:val="0"/>
                <w:color w:val="auto"/>
                <w:kern w:val="0"/>
                <w:sz w:val="20"/>
                <w:szCs w:val="20"/>
                <w:highlight w:val="none"/>
                <w:u w:val="none"/>
                <w:lang w:val="en-US" w:eastAsia="zh-CN" w:bidi="ar"/>
              </w:rPr>
              <w:t>11705.01</w:t>
            </w:r>
          </w:p>
        </w:tc>
      </w:tr>
    </w:tbl>
    <w:p w14:paraId="0442ADBE">
      <w:pPr>
        <w:spacing w:line="42" w:lineRule="auto"/>
        <w:jc w:val="center"/>
        <w:rPr>
          <w:rFonts w:ascii="Arial"/>
          <w:sz w:val="2"/>
        </w:rPr>
      </w:pPr>
    </w:p>
    <w:p w14:paraId="72EA5DFB">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60" w:firstLineChars="200"/>
        <w:textAlignment w:val="baseline"/>
        <w:rPr>
          <w:rFonts w:hint="default" w:ascii="Times New Roman" w:hAnsi="Times New Roman" w:eastAsia="楷体" w:cs="Times New Roman"/>
          <w:b w:val="0"/>
          <w:bCs w:val="0"/>
          <w:spacing w:val="5"/>
          <w:sz w:val="32"/>
          <w:szCs w:val="32"/>
          <w:lang w:eastAsia="zh-CN"/>
        </w:rPr>
      </w:pPr>
      <w:r>
        <w:rPr>
          <w:rFonts w:hint="default" w:ascii="Times New Roman" w:hAnsi="Times New Roman" w:eastAsia="楷体" w:cs="Times New Roman"/>
          <w:b w:val="0"/>
          <w:bCs w:val="0"/>
          <w:spacing w:val="5"/>
          <w:sz w:val="32"/>
          <w:szCs w:val="32"/>
          <w:lang w:eastAsia="zh-CN"/>
        </w:rPr>
        <w:t>（四）关联交易情况</w:t>
      </w:r>
    </w:p>
    <w:p w14:paraId="420759DF">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本行的关联交易遵守法律、行政法规、国家统一的会计制度和有关的银行业监督管理规定，按照商业原则，以不优于对非关联方同类交易的条件进行。</w:t>
      </w:r>
    </w:p>
    <w:p w14:paraId="0F9B12F0">
      <w:pPr>
        <w:keepNext w:val="0"/>
        <w:keepLines w:val="0"/>
        <w:pageBreakBefore w:val="0"/>
        <w:widowControl/>
        <w:kinsoku w:val="0"/>
        <w:wordWrap/>
        <w:overflowPunct/>
        <w:topLinePunct w:val="0"/>
        <w:autoSpaceDE w:val="0"/>
        <w:autoSpaceDN w:val="0"/>
        <w:bidi w:val="0"/>
        <w:adjustRightInd w:val="0"/>
        <w:snapToGrid w:val="0"/>
        <w:spacing w:line="520" w:lineRule="exact"/>
        <w:ind w:firstLine="643" w:firstLineChars="200"/>
        <w:textAlignment w:val="baseline"/>
        <w:rPr>
          <w:rFonts w:hint="eastAsia" w:ascii="仿宋" w:hAnsi="仿宋" w:eastAsia="仿宋" w:cs="仿宋"/>
          <w:b/>
          <w:bCs/>
          <w:highlight w:val="none"/>
          <w:lang w:eastAsia="zh-CN"/>
        </w:rPr>
      </w:pPr>
      <w:r>
        <w:rPr>
          <w:rFonts w:hint="eastAsia" w:ascii="仿宋" w:hAnsi="仿宋" w:eastAsia="仿宋" w:cs="仿宋"/>
          <w:b/>
          <w:bCs/>
          <w:sz w:val="32"/>
          <w:szCs w:val="32"/>
          <w:highlight w:val="none"/>
          <w:lang w:eastAsia="zh-CN"/>
        </w:rPr>
        <w:t>报告期末</w:t>
      </w:r>
      <w:r>
        <w:rPr>
          <w:rFonts w:hint="eastAsia" w:ascii="仿宋" w:hAnsi="仿宋" w:eastAsia="仿宋" w:cs="仿宋"/>
          <w:b/>
          <w:bCs/>
          <w:sz w:val="32"/>
          <w:szCs w:val="32"/>
          <w:highlight w:val="none"/>
        </w:rPr>
        <w:t>贷款</w:t>
      </w:r>
      <w:r>
        <w:rPr>
          <w:rFonts w:hint="eastAsia" w:ascii="仿宋" w:hAnsi="仿宋" w:eastAsia="仿宋" w:cs="仿宋"/>
          <w:b/>
          <w:bCs/>
          <w:sz w:val="32"/>
          <w:szCs w:val="32"/>
          <w:highlight w:val="none"/>
          <w:lang w:eastAsia="zh-CN"/>
        </w:rPr>
        <w:t>余额</w:t>
      </w:r>
    </w:p>
    <w:tbl>
      <w:tblPr>
        <w:tblStyle w:val="6"/>
        <w:tblW w:w="8540" w:type="dxa"/>
        <w:tblInd w:w="93" w:type="dxa"/>
        <w:tblLayout w:type="fixed"/>
        <w:tblCellMar>
          <w:top w:w="0" w:type="dxa"/>
          <w:left w:w="108" w:type="dxa"/>
          <w:bottom w:w="0" w:type="dxa"/>
          <w:right w:w="108" w:type="dxa"/>
        </w:tblCellMar>
      </w:tblPr>
      <w:tblGrid>
        <w:gridCol w:w="4055"/>
        <w:gridCol w:w="2277"/>
        <w:gridCol w:w="2208"/>
      </w:tblGrid>
      <w:tr w14:paraId="2E0668B1">
        <w:tblPrEx>
          <w:tblCellMar>
            <w:top w:w="0" w:type="dxa"/>
            <w:left w:w="108" w:type="dxa"/>
            <w:bottom w:w="0" w:type="dxa"/>
            <w:right w:w="108" w:type="dxa"/>
          </w:tblCellMar>
        </w:tblPrEx>
        <w:trPr>
          <w:trHeight w:val="420" w:hRule="atLeast"/>
        </w:trPr>
        <w:tc>
          <w:tcPr>
            <w:tcW w:w="4055" w:type="dxa"/>
            <w:tcBorders>
              <w:top w:val="single" w:color="000000" w:sz="8" w:space="0"/>
              <w:left w:val="nil"/>
              <w:bottom w:val="single" w:color="000000" w:sz="4" w:space="0"/>
              <w:right w:val="single" w:color="000000" w:sz="4" w:space="0"/>
            </w:tcBorders>
            <w:shd w:val="clear" w:color="auto" w:fill="0070C0"/>
            <w:vAlign w:val="center"/>
          </w:tcPr>
          <w:p w14:paraId="7F3A68FB">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项目</w:t>
            </w:r>
          </w:p>
        </w:tc>
        <w:tc>
          <w:tcPr>
            <w:tcW w:w="2277"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6D55D196">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2026年二季度末余额</w:t>
            </w:r>
          </w:p>
          <w:p w14:paraId="0FE29074">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（万元）</w:t>
            </w:r>
          </w:p>
        </w:tc>
        <w:tc>
          <w:tcPr>
            <w:tcW w:w="2208" w:type="dxa"/>
            <w:tcBorders>
              <w:top w:val="single" w:color="000000" w:sz="8" w:space="0"/>
              <w:left w:val="single" w:color="000000" w:sz="4" w:space="0"/>
              <w:bottom w:val="single" w:color="000000" w:sz="4" w:space="0"/>
              <w:right w:val="nil"/>
            </w:tcBorders>
            <w:shd w:val="clear" w:color="auto" w:fill="0070C0"/>
            <w:vAlign w:val="center"/>
          </w:tcPr>
          <w:p w14:paraId="577DD308">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上季度末余额</w:t>
            </w:r>
          </w:p>
          <w:p w14:paraId="49E38951">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（万元）</w:t>
            </w:r>
          </w:p>
        </w:tc>
      </w:tr>
      <w:tr w14:paraId="33F9681E">
        <w:tblPrEx>
          <w:tblCellMar>
            <w:top w:w="0" w:type="dxa"/>
            <w:left w:w="108" w:type="dxa"/>
            <w:bottom w:w="0" w:type="dxa"/>
            <w:right w:w="108" w:type="dxa"/>
          </w:tblCellMar>
        </w:tblPrEx>
        <w:trPr>
          <w:trHeight w:val="495" w:hRule="atLeast"/>
        </w:trPr>
        <w:tc>
          <w:tcPr>
            <w:tcW w:w="4055" w:type="dxa"/>
            <w:tcBorders>
              <w:top w:val="single" w:color="000000" w:sz="4" w:space="0"/>
              <w:left w:val="nil"/>
              <w:bottom w:val="single" w:color="000000" w:sz="4" w:space="0"/>
              <w:right w:val="single" w:color="000000" w:sz="4" w:space="0"/>
            </w:tcBorders>
            <w:shd w:val="clear" w:color="auto" w:fill="auto"/>
            <w:vAlign w:val="center"/>
          </w:tcPr>
          <w:p w14:paraId="715800B2">
            <w:pPr>
              <w:textAlignment w:val="center"/>
              <w:rPr>
                <w:rFonts w:ascii="宋体" w:hAnsi="宋体" w:eastAsia="宋体" w:cs="宋体"/>
                <w:sz w:val="20"/>
                <w:szCs w:val="20"/>
                <w:lang w:eastAsia="zh-CN"/>
              </w:rPr>
            </w:pPr>
            <w:r>
              <w:rPr>
                <w:rFonts w:hint="eastAsia" w:ascii="宋体" w:hAnsi="宋体" w:eastAsia="宋体" w:cs="宋体"/>
                <w:sz w:val="20"/>
                <w:szCs w:val="20"/>
                <w:lang w:eastAsia="zh-CN"/>
              </w:rPr>
              <w:t>持有或控制银行机构</w:t>
            </w:r>
            <w:r>
              <w:rPr>
                <w:rFonts w:ascii="Times New Roman" w:hAnsi="Times New Roman" w:eastAsia="宋体" w:cs="Times New Roman"/>
                <w:sz w:val="20"/>
                <w:szCs w:val="20"/>
                <w:lang w:eastAsia="zh-CN"/>
              </w:rPr>
              <w:t>5%</w:t>
            </w:r>
            <w:r>
              <w:rPr>
                <w:rFonts w:hint="eastAsia" w:ascii="宋体" w:hAnsi="宋体" w:eastAsia="宋体" w:cs="宋体"/>
                <w:sz w:val="20"/>
                <w:szCs w:val="20"/>
                <w:lang w:eastAsia="zh-CN"/>
              </w:rPr>
              <w:t>及以上股权的股东</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C56B4">
            <w:pPr>
              <w:rPr>
                <w:rFonts w:hint="default" w:ascii="Times New Roman" w:hAnsi="Times New Roman" w:eastAsia="宋体" w:cs="Times New Roman"/>
                <w:sz w:val="20"/>
                <w:szCs w:val="20"/>
                <w:highlight w:val="none"/>
                <w:lang w:val="en-US" w:eastAsia="zh-CN"/>
              </w:rPr>
            </w:pPr>
            <w:r>
              <w:rPr>
                <w:rFonts w:hint="eastAsia" w:ascii="Times New Roman" w:hAnsi="Times New Roman" w:eastAsia="宋体" w:cs="Times New Roman"/>
                <w:sz w:val="20"/>
                <w:szCs w:val="20"/>
                <w:highlight w:val="none"/>
                <w:lang w:val="en-US" w:eastAsia="zh-CN"/>
              </w:rPr>
              <w:t>19500.00</w:t>
            </w:r>
          </w:p>
        </w:tc>
        <w:tc>
          <w:tcPr>
            <w:tcW w:w="2208" w:type="dxa"/>
            <w:tcBorders>
              <w:top w:val="single" w:color="000000" w:sz="4" w:space="0"/>
              <w:left w:val="single" w:color="000000" w:sz="4" w:space="0"/>
              <w:bottom w:val="single" w:color="000000" w:sz="4" w:space="0"/>
              <w:right w:val="nil"/>
            </w:tcBorders>
            <w:shd w:val="clear" w:color="auto" w:fill="auto"/>
            <w:vAlign w:val="center"/>
          </w:tcPr>
          <w:p w14:paraId="1981B05D">
            <w:pPr>
              <w:rPr>
                <w:rFonts w:hint="default" w:ascii="Times New Roman" w:hAnsi="Times New Roman" w:eastAsia="宋体" w:cs="Times New Roman"/>
                <w:sz w:val="20"/>
                <w:szCs w:val="20"/>
                <w:highlight w:val="yellow"/>
                <w:lang w:val="en-US" w:eastAsia="zh-CN"/>
              </w:rPr>
            </w:pPr>
            <w:r>
              <w:rPr>
                <w:rFonts w:hint="eastAsia" w:ascii="Times New Roman" w:hAnsi="Times New Roman" w:eastAsia="宋体" w:cs="Times New Roman"/>
                <w:sz w:val="20"/>
                <w:szCs w:val="20"/>
                <w:highlight w:val="none"/>
                <w:lang w:val="en-US" w:eastAsia="zh-CN"/>
              </w:rPr>
              <w:t>36050.00</w:t>
            </w:r>
          </w:p>
        </w:tc>
      </w:tr>
      <w:tr w14:paraId="19DE5E4E">
        <w:tblPrEx>
          <w:tblCellMar>
            <w:top w:w="0" w:type="dxa"/>
            <w:left w:w="108" w:type="dxa"/>
            <w:bottom w:w="0" w:type="dxa"/>
            <w:right w:w="108" w:type="dxa"/>
          </w:tblCellMar>
        </w:tblPrEx>
        <w:trPr>
          <w:trHeight w:val="480" w:hRule="atLeast"/>
        </w:trPr>
        <w:tc>
          <w:tcPr>
            <w:tcW w:w="4055" w:type="dxa"/>
            <w:tcBorders>
              <w:top w:val="single" w:color="000000" w:sz="4" w:space="0"/>
              <w:left w:val="nil"/>
              <w:bottom w:val="single" w:color="000000" w:sz="4" w:space="0"/>
              <w:right w:val="single" w:color="000000" w:sz="4" w:space="0"/>
            </w:tcBorders>
            <w:shd w:val="clear" w:color="auto" w:fill="auto"/>
            <w:vAlign w:val="center"/>
          </w:tcPr>
          <w:p w14:paraId="0BBFB3F7">
            <w:pPr>
              <w:textAlignment w:val="center"/>
              <w:rPr>
                <w:rFonts w:ascii="宋体" w:hAnsi="宋体" w:eastAsia="宋体" w:cs="宋体"/>
                <w:sz w:val="20"/>
                <w:szCs w:val="20"/>
              </w:rPr>
            </w:pPr>
            <w:r>
              <w:rPr>
                <w:rFonts w:hint="eastAsia" w:ascii="宋体" w:hAnsi="宋体" w:eastAsia="宋体" w:cs="宋体"/>
                <w:sz w:val="20"/>
                <w:szCs w:val="20"/>
                <w:lang w:eastAsia="zh-CN"/>
              </w:rPr>
              <w:t>主要股东的关联法人</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EAB85">
            <w:pPr>
              <w:rPr>
                <w:rFonts w:hint="default" w:ascii="Times New Roman" w:hAnsi="Times New Roman" w:eastAsia="宋体" w:cs="Times New Roman"/>
                <w:sz w:val="20"/>
                <w:szCs w:val="20"/>
                <w:highlight w:val="none"/>
                <w:lang w:val="en-US"/>
              </w:rPr>
            </w:pPr>
            <w:r>
              <w:rPr>
                <w:rFonts w:hint="eastAsia" w:ascii="Times New Roman" w:hAnsi="Times New Roman" w:eastAsia="宋体" w:cs="Times New Roman"/>
                <w:sz w:val="20"/>
                <w:szCs w:val="20"/>
                <w:highlight w:val="none"/>
                <w:lang w:val="en-US" w:eastAsia="zh-CN"/>
              </w:rPr>
              <w:t>363304.72</w:t>
            </w:r>
          </w:p>
        </w:tc>
        <w:tc>
          <w:tcPr>
            <w:tcW w:w="2208" w:type="dxa"/>
            <w:tcBorders>
              <w:top w:val="single" w:color="000000" w:sz="4" w:space="0"/>
              <w:left w:val="single" w:color="000000" w:sz="4" w:space="0"/>
              <w:bottom w:val="single" w:color="000000" w:sz="4" w:space="0"/>
              <w:right w:val="nil"/>
            </w:tcBorders>
            <w:shd w:val="clear" w:color="auto" w:fill="auto"/>
            <w:vAlign w:val="center"/>
          </w:tcPr>
          <w:p w14:paraId="6E23B372">
            <w:pPr>
              <w:rPr>
                <w:rFonts w:hint="default" w:ascii="Times New Roman" w:hAnsi="Times New Roman" w:eastAsia="宋体" w:cs="Times New Roman"/>
                <w:sz w:val="20"/>
                <w:szCs w:val="20"/>
                <w:highlight w:val="yellow"/>
                <w:lang w:val="en-US" w:eastAsia="zh-CN"/>
              </w:rPr>
            </w:pPr>
            <w:r>
              <w:rPr>
                <w:rFonts w:hint="eastAsia" w:ascii="Times New Roman" w:hAnsi="Times New Roman" w:eastAsia="宋体" w:cs="Times New Roman"/>
                <w:sz w:val="20"/>
                <w:szCs w:val="20"/>
                <w:highlight w:val="none"/>
                <w:lang w:val="en-US" w:eastAsia="zh-CN"/>
              </w:rPr>
              <w:t>411568.52</w:t>
            </w:r>
          </w:p>
        </w:tc>
      </w:tr>
      <w:tr w14:paraId="2EF7D56E">
        <w:tblPrEx>
          <w:tblCellMar>
            <w:top w:w="0" w:type="dxa"/>
            <w:left w:w="108" w:type="dxa"/>
            <w:bottom w:w="0" w:type="dxa"/>
            <w:right w:w="108" w:type="dxa"/>
          </w:tblCellMar>
        </w:tblPrEx>
        <w:trPr>
          <w:trHeight w:val="455" w:hRule="atLeast"/>
        </w:trPr>
        <w:tc>
          <w:tcPr>
            <w:tcW w:w="4055" w:type="dxa"/>
            <w:tcBorders>
              <w:top w:val="single" w:color="000000" w:sz="4" w:space="0"/>
              <w:left w:val="nil"/>
              <w:bottom w:val="single" w:color="000000" w:sz="4" w:space="0"/>
              <w:right w:val="single" w:color="000000" w:sz="4" w:space="0"/>
            </w:tcBorders>
            <w:shd w:val="clear" w:color="auto" w:fill="auto"/>
            <w:vAlign w:val="center"/>
          </w:tcPr>
          <w:p w14:paraId="389C873F">
            <w:pPr>
              <w:textAlignment w:val="center"/>
              <w:rPr>
                <w:rFonts w:ascii="宋体" w:hAnsi="宋体" w:eastAsia="宋体" w:cs="宋体"/>
                <w:sz w:val="20"/>
                <w:szCs w:val="20"/>
              </w:rPr>
            </w:pPr>
            <w:r>
              <w:rPr>
                <w:rFonts w:hint="eastAsia" w:ascii="宋体" w:hAnsi="宋体" w:eastAsia="宋体" w:cs="宋体"/>
                <w:sz w:val="20"/>
                <w:szCs w:val="20"/>
                <w:lang w:eastAsia="zh-CN"/>
              </w:rPr>
              <w:t>关键管理人员及其近亲属</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D3AC0">
            <w:pPr>
              <w:rPr>
                <w:rFonts w:hint="default" w:ascii="Times New Roman" w:hAnsi="Times New Roman" w:eastAsia="宋体" w:cs="Times New Roman"/>
                <w:sz w:val="20"/>
                <w:szCs w:val="20"/>
                <w:highlight w:val="none"/>
                <w:lang w:val="en-US"/>
              </w:rPr>
            </w:pPr>
            <w:r>
              <w:rPr>
                <w:rFonts w:hint="eastAsia" w:ascii="Times New Roman" w:hAnsi="Times New Roman" w:eastAsia="宋体" w:cs="Times New Roman"/>
                <w:sz w:val="20"/>
                <w:szCs w:val="20"/>
                <w:highlight w:val="none"/>
                <w:lang w:val="en-US" w:eastAsia="zh-CN"/>
              </w:rPr>
              <w:t>15604.00</w:t>
            </w:r>
          </w:p>
        </w:tc>
        <w:tc>
          <w:tcPr>
            <w:tcW w:w="2208" w:type="dxa"/>
            <w:tcBorders>
              <w:top w:val="single" w:color="000000" w:sz="4" w:space="0"/>
              <w:left w:val="single" w:color="000000" w:sz="4" w:space="0"/>
              <w:bottom w:val="single" w:color="000000" w:sz="4" w:space="0"/>
              <w:right w:val="nil"/>
            </w:tcBorders>
            <w:shd w:val="clear" w:color="auto" w:fill="auto"/>
            <w:vAlign w:val="center"/>
          </w:tcPr>
          <w:p w14:paraId="19D4CBF4">
            <w:pPr>
              <w:rPr>
                <w:rFonts w:hint="default" w:ascii="Times New Roman" w:hAnsi="Times New Roman" w:eastAsia="宋体" w:cs="Times New Roman"/>
                <w:sz w:val="20"/>
                <w:szCs w:val="20"/>
                <w:highlight w:val="yellow"/>
                <w:lang w:val="en-US" w:eastAsia="zh-CN"/>
              </w:rPr>
            </w:pPr>
            <w:r>
              <w:rPr>
                <w:rFonts w:hint="eastAsia" w:ascii="Times New Roman" w:hAnsi="Times New Roman" w:eastAsia="宋体" w:cs="Times New Roman"/>
                <w:sz w:val="20"/>
                <w:szCs w:val="20"/>
                <w:highlight w:val="none"/>
                <w:lang w:val="en-US" w:eastAsia="zh-CN"/>
              </w:rPr>
              <w:t>12039.00</w:t>
            </w:r>
          </w:p>
        </w:tc>
      </w:tr>
      <w:tr w14:paraId="51B21088">
        <w:tblPrEx>
          <w:tblCellMar>
            <w:top w:w="0" w:type="dxa"/>
            <w:left w:w="108" w:type="dxa"/>
            <w:bottom w:w="0" w:type="dxa"/>
            <w:right w:w="108" w:type="dxa"/>
          </w:tblCellMar>
        </w:tblPrEx>
        <w:trPr>
          <w:trHeight w:val="285" w:hRule="atLeast"/>
        </w:trPr>
        <w:tc>
          <w:tcPr>
            <w:tcW w:w="4055" w:type="dxa"/>
            <w:tcBorders>
              <w:top w:val="single" w:color="000000" w:sz="4" w:space="0"/>
              <w:left w:val="nil"/>
              <w:bottom w:val="single" w:color="000000" w:sz="4" w:space="0"/>
              <w:right w:val="single" w:color="000000" w:sz="4" w:space="0"/>
            </w:tcBorders>
            <w:shd w:val="clear" w:color="auto" w:fill="auto"/>
            <w:vAlign w:val="center"/>
          </w:tcPr>
          <w:p w14:paraId="4A386FA1">
            <w:pPr>
              <w:textAlignment w:val="center"/>
              <w:rPr>
                <w:rFonts w:ascii="宋体" w:hAnsi="宋体" w:eastAsia="宋体" w:cs="宋体"/>
                <w:sz w:val="20"/>
                <w:szCs w:val="20"/>
                <w:lang w:eastAsia="zh-CN"/>
              </w:rPr>
            </w:pPr>
            <w:r>
              <w:rPr>
                <w:rFonts w:hint="eastAsia" w:ascii="宋体" w:hAnsi="宋体" w:eastAsia="宋体" w:cs="宋体"/>
                <w:sz w:val="20"/>
                <w:szCs w:val="20"/>
                <w:lang w:eastAsia="zh-CN"/>
              </w:rPr>
              <w:t>高级管理人员、大额授信或资产转移核心业务审批或决策人员、其近亲属等人员以及控制的企业的贷款、透支</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8ADBD">
            <w:pPr>
              <w:rPr>
                <w:rFonts w:hint="default" w:ascii="Times New Roman" w:hAnsi="Times New Roman" w:eastAsia="宋体" w:cs="Times New Roman"/>
                <w:sz w:val="20"/>
                <w:szCs w:val="20"/>
                <w:highlight w:val="none"/>
                <w:lang w:val="en-US" w:eastAsia="zh-CN"/>
              </w:rPr>
            </w:pPr>
            <w:r>
              <w:rPr>
                <w:rFonts w:hint="eastAsia" w:ascii="Times New Roman" w:hAnsi="Times New Roman" w:eastAsia="宋体" w:cs="Times New Roman"/>
                <w:sz w:val="20"/>
                <w:szCs w:val="20"/>
                <w:highlight w:val="none"/>
                <w:lang w:val="en-US" w:eastAsia="zh-CN"/>
              </w:rPr>
              <w:t>13074.47</w:t>
            </w:r>
          </w:p>
        </w:tc>
        <w:tc>
          <w:tcPr>
            <w:tcW w:w="2208" w:type="dxa"/>
            <w:tcBorders>
              <w:top w:val="single" w:color="000000" w:sz="4" w:space="0"/>
              <w:left w:val="single" w:color="000000" w:sz="4" w:space="0"/>
              <w:bottom w:val="single" w:color="000000" w:sz="4" w:space="0"/>
              <w:right w:val="nil"/>
            </w:tcBorders>
            <w:shd w:val="clear" w:color="auto" w:fill="auto"/>
            <w:vAlign w:val="center"/>
          </w:tcPr>
          <w:p w14:paraId="7F35EDC3">
            <w:pPr>
              <w:rPr>
                <w:rFonts w:hint="default" w:ascii="Times New Roman" w:hAnsi="Times New Roman" w:eastAsia="宋体" w:cs="Times New Roman"/>
                <w:sz w:val="20"/>
                <w:szCs w:val="20"/>
                <w:highlight w:val="yellow"/>
                <w:lang w:val="en-US" w:eastAsia="zh-CN"/>
              </w:rPr>
            </w:pPr>
            <w:r>
              <w:rPr>
                <w:rFonts w:hint="eastAsia" w:ascii="Times New Roman" w:hAnsi="Times New Roman" w:eastAsia="宋体" w:cs="Times New Roman"/>
                <w:sz w:val="20"/>
                <w:szCs w:val="20"/>
                <w:highlight w:val="none"/>
                <w:lang w:val="en-US" w:eastAsia="zh-CN"/>
              </w:rPr>
              <w:t>13345.64</w:t>
            </w:r>
          </w:p>
        </w:tc>
      </w:tr>
      <w:tr w14:paraId="72A6F845">
        <w:tblPrEx>
          <w:tblCellMar>
            <w:top w:w="0" w:type="dxa"/>
            <w:left w:w="108" w:type="dxa"/>
            <w:bottom w:w="0" w:type="dxa"/>
            <w:right w:w="108" w:type="dxa"/>
          </w:tblCellMar>
        </w:tblPrEx>
        <w:trPr>
          <w:trHeight w:val="460" w:hRule="atLeast"/>
        </w:trPr>
        <w:tc>
          <w:tcPr>
            <w:tcW w:w="4055" w:type="dxa"/>
            <w:tcBorders>
              <w:top w:val="single" w:color="000000" w:sz="4" w:space="0"/>
              <w:left w:val="nil"/>
              <w:bottom w:val="single" w:color="000000" w:sz="8" w:space="0"/>
              <w:right w:val="single" w:color="000000" w:sz="4" w:space="0"/>
            </w:tcBorders>
            <w:shd w:val="clear" w:color="auto" w:fill="auto"/>
            <w:vAlign w:val="center"/>
          </w:tcPr>
          <w:p w14:paraId="02E2192A">
            <w:pPr>
              <w:textAlignment w:val="center"/>
              <w:rPr>
                <w:rFonts w:ascii="宋体" w:hAnsi="宋体" w:eastAsia="宋体" w:cs="宋体"/>
                <w:sz w:val="20"/>
                <w:szCs w:val="20"/>
              </w:rPr>
            </w:pPr>
            <w:r>
              <w:rPr>
                <w:rFonts w:hint="eastAsia" w:ascii="宋体" w:hAnsi="宋体" w:eastAsia="宋体" w:cs="宋体"/>
                <w:sz w:val="20"/>
                <w:szCs w:val="20"/>
                <w:lang w:eastAsia="zh-CN"/>
              </w:rPr>
              <w:t>合计</w:t>
            </w:r>
          </w:p>
        </w:tc>
        <w:tc>
          <w:tcPr>
            <w:tcW w:w="2277" w:type="dxa"/>
            <w:tcBorders>
              <w:top w:val="single" w:color="000000" w:sz="4" w:space="0"/>
              <w:left w:val="single" w:color="000000" w:sz="4" w:space="0"/>
              <w:bottom w:val="single" w:color="000000" w:sz="8" w:space="0"/>
              <w:right w:val="single" w:color="000000" w:sz="4" w:space="0"/>
            </w:tcBorders>
            <w:shd w:val="clear" w:color="auto" w:fill="auto"/>
            <w:vAlign w:val="center"/>
          </w:tcPr>
          <w:p w14:paraId="5BB176A9">
            <w:pPr>
              <w:rPr>
                <w:rFonts w:hint="default" w:ascii="Times New Roman" w:hAnsi="Times New Roman" w:eastAsia="宋体" w:cs="Times New Roman"/>
                <w:sz w:val="20"/>
                <w:szCs w:val="20"/>
                <w:highlight w:val="none"/>
                <w:lang w:val="en-US" w:eastAsia="zh-CN"/>
              </w:rPr>
            </w:pPr>
            <w:r>
              <w:rPr>
                <w:rFonts w:hint="eastAsia" w:ascii="Times New Roman" w:hAnsi="Times New Roman" w:eastAsia="宋体" w:cs="Times New Roman"/>
                <w:sz w:val="20"/>
                <w:szCs w:val="20"/>
                <w:highlight w:val="none"/>
                <w:lang w:val="en-US" w:eastAsia="zh-CN"/>
              </w:rPr>
              <w:t>411483.19</w:t>
            </w:r>
          </w:p>
        </w:tc>
        <w:tc>
          <w:tcPr>
            <w:tcW w:w="2208" w:type="dxa"/>
            <w:tcBorders>
              <w:top w:val="single" w:color="000000" w:sz="4" w:space="0"/>
              <w:left w:val="single" w:color="000000" w:sz="4" w:space="0"/>
              <w:bottom w:val="single" w:color="000000" w:sz="8" w:space="0"/>
              <w:right w:val="nil"/>
            </w:tcBorders>
            <w:shd w:val="clear" w:color="auto" w:fill="auto"/>
            <w:noWrap/>
            <w:vAlign w:val="center"/>
          </w:tcPr>
          <w:p w14:paraId="2D9467D5">
            <w:pPr>
              <w:rPr>
                <w:rFonts w:hint="default" w:ascii="宋体" w:hAnsi="宋体" w:eastAsia="宋体" w:cs="宋体"/>
                <w:sz w:val="24"/>
                <w:szCs w:val="24"/>
                <w:highlight w:val="yellow"/>
                <w:lang w:val="en-US" w:eastAsia="zh-CN"/>
              </w:rPr>
            </w:pPr>
            <w:r>
              <w:rPr>
                <w:rFonts w:hint="eastAsia" w:ascii="Times New Roman" w:hAnsi="Times New Roman" w:eastAsia="宋体" w:cs="Times New Roman"/>
                <w:sz w:val="20"/>
                <w:szCs w:val="20"/>
                <w:highlight w:val="none"/>
                <w:lang w:val="en-US" w:eastAsia="zh-CN"/>
              </w:rPr>
              <w:t>473003.16</w:t>
            </w:r>
          </w:p>
        </w:tc>
      </w:tr>
    </w:tbl>
    <w:p w14:paraId="7A999CAE">
      <w:pPr>
        <w:rPr>
          <w:rFonts w:hint="default" w:ascii="Arial" w:eastAsia="宋体"/>
          <w:color w:val="FF0000"/>
          <w:sz w:val="21"/>
          <w:highlight w:val="yellow"/>
          <w:lang w:val="en-US" w:eastAsia="zh-CN"/>
        </w:rPr>
      </w:pPr>
    </w:p>
    <w:p w14:paraId="0B489530">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highlight w:val="yellow"/>
          <w:lang w:val="en-US" w:eastAsia="zh-CN"/>
        </w:rPr>
      </w:pPr>
    </w:p>
    <w:p w14:paraId="6FD3D245">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highlight w:val="yellow"/>
          <w:lang w:val="en-US" w:eastAsia="zh-CN"/>
        </w:rPr>
      </w:pPr>
    </w:p>
    <w:sectPr>
      <w:footerReference r:id="rId5" w:type="default"/>
      <w:pgSz w:w="11906" w:h="16839"/>
      <w:pgMar w:top="1417" w:right="1587" w:bottom="1417" w:left="1587" w:header="0" w:footer="0"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5F8D45C-F5AF-4ABE-A753-964A2F34F2B2}"/>
  </w:font>
  <w:font w:name="黑体">
    <w:panose1 w:val="02010609060101010101"/>
    <w:charset w:val="86"/>
    <w:family w:val="auto"/>
    <w:pitch w:val="default"/>
    <w:sig w:usb0="800002BF" w:usb1="38CF7CFA" w:usb2="00000016" w:usb3="00000000" w:csb0="00040001" w:csb1="00000000"/>
    <w:embedRegular r:id="rId2" w:fontKey="{08234AE1-0F31-4A29-8418-BBA7AA6041B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3" w:fontKey="{207D1B2F-3BC0-4410-8855-4D5EF95521AB}"/>
  </w:font>
  <w:font w:name="方正公文小标宋">
    <w:panose1 w:val="02000500000000000000"/>
    <w:charset w:val="86"/>
    <w:family w:val="auto"/>
    <w:pitch w:val="default"/>
    <w:sig w:usb0="A00002BF" w:usb1="38CF7CFA" w:usb2="00000016" w:usb3="00000000" w:csb0="00040001" w:csb1="00000000"/>
    <w:embedRegular r:id="rId4" w:fontKey="{B08AB0F0-CCA5-478F-8C73-76BB915DB597}"/>
  </w:font>
  <w:font w:name="楷体">
    <w:panose1 w:val="02010609060101010101"/>
    <w:charset w:val="86"/>
    <w:family w:val="auto"/>
    <w:pitch w:val="default"/>
    <w:sig w:usb0="800002BF" w:usb1="38CF7CFA" w:usb2="00000016" w:usb3="00000000" w:csb0="00040001" w:csb1="00000000"/>
    <w:embedRegular r:id="rId5" w:fontKey="{56471CD8-8224-4E5B-85A7-5BB6C12B4953}"/>
  </w:font>
  <w:font w:name="仿宋_GB2312">
    <w:panose1 w:val="02010609030101010101"/>
    <w:charset w:val="86"/>
    <w:family w:val="auto"/>
    <w:pitch w:val="default"/>
    <w:sig w:usb0="00000001" w:usb1="080E0000" w:usb2="00000000" w:usb3="00000000" w:csb0="00040000" w:csb1="00000000"/>
    <w:embedRegular r:id="rId6" w:fontKey="{5B996843-08E2-4F18-9446-3BD083CAC15E}"/>
  </w:font>
  <w:font w:name="楷体_GB2312">
    <w:panose1 w:val="02010609030101010101"/>
    <w:charset w:val="86"/>
    <w:family w:val="auto"/>
    <w:pitch w:val="default"/>
    <w:sig w:usb0="00000001" w:usb1="080E0000" w:usb2="00000000" w:usb3="00000000" w:csb0="00040000" w:csb1="00000000"/>
    <w:embedRegular r:id="rId7" w:fontKey="{5575427B-3A2E-44D9-8914-8BA635DAE723}"/>
  </w:font>
  <w:font w:name="WPSEMBED1">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E3F0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A8BE44">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4A8BE44">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66042F"/>
    <w:multiLevelType w:val="singleLevel"/>
    <w:tmpl w:val="E966042F"/>
    <w:lvl w:ilvl="0" w:tentative="0">
      <w:start w:val="2"/>
      <w:numFmt w:val="decimal"/>
      <w:lvlText w:val="%1."/>
      <w:lvlJc w:val="left"/>
      <w:pPr>
        <w:tabs>
          <w:tab w:val="left" w:pos="312"/>
        </w:tabs>
      </w:pPr>
    </w:lvl>
  </w:abstractNum>
  <w:abstractNum w:abstractNumId="1">
    <w:nsid w:val="3A58251A"/>
    <w:multiLevelType w:val="singleLevel"/>
    <w:tmpl w:val="3A58251A"/>
    <w:lvl w:ilvl="0" w:tentative="0">
      <w:start w:val="2"/>
      <w:numFmt w:val="chineseCounting"/>
      <w:suff w:val="space"/>
      <w:lvlText w:val="第%1节"/>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Y2Q0N2I2ZGI4N2Y5NzljNWQ3NTdiMTY5Y2MwODljZjUifQ=="/>
  </w:docVars>
  <w:rsids>
    <w:rsidRoot w:val="00000000"/>
    <w:rsid w:val="002A6AFC"/>
    <w:rsid w:val="01F571E8"/>
    <w:rsid w:val="02A06CA9"/>
    <w:rsid w:val="054943CE"/>
    <w:rsid w:val="05C5181E"/>
    <w:rsid w:val="0A821866"/>
    <w:rsid w:val="0EA435EC"/>
    <w:rsid w:val="0F472F44"/>
    <w:rsid w:val="127A1044"/>
    <w:rsid w:val="13BE6A5E"/>
    <w:rsid w:val="156A61D9"/>
    <w:rsid w:val="15D36834"/>
    <w:rsid w:val="15F85FC4"/>
    <w:rsid w:val="17192340"/>
    <w:rsid w:val="179E2135"/>
    <w:rsid w:val="1A7A0FFD"/>
    <w:rsid w:val="1B100797"/>
    <w:rsid w:val="1B5743C7"/>
    <w:rsid w:val="1BA52F53"/>
    <w:rsid w:val="1BD60A7D"/>
    <w:rsid w:val="1C644E21"/>
    <w:rsid w:val="1D194148"/>
    <w:rsid w:val="220C2E88"/>
    <w:rsid w:val="23BE105D"/>
    <w:rsid w:val="240F5A90"/>
    <w:rsid w:val="27391076"/>
    <w:rsid w:val="299267F7"/>
    <w:rsid w:val="2F472C96"/>
    <w:rsid w:val="2FB74C3C"/>
    <w:rsid w:val="330D7D2E"/>
    <w:rsid w:val="359F3953"/>
    <w:rsid w:val="36453593"/>
    <w:rsid w:val="37F62612"/>
    <w:rsid w:val="38627AC2"/>
    <w:rsid w:val="38C4270F"/>
    <w:rsid w:val="3BE327F4"/>
    <w:rsid w:val="40842268"/>
    <w:rsid w:val="410A2F88"/>
    <w:rsid w:val="41B24EE2"/>
    <w:rsid w:val="44CA668A"/>
    <w:rsid w:val="48B40105"/>
    <w:rsid w:val="4A2E1B7C"/>
    <w:rsid w:val="4E0F3C8C"/>
    <w:rsid w:val="4E3450DC"/>
    <w:rsid w:val="4E741F07"/>
    <w:rsid w:val="50407B31"/>
    <w:rsid w:val="5079133D"/>
    <w:rsid w:val="50EE3D38"/>
    <w:rsid w:val="518B66FF"/>
    <w:rsid w:val="54482800"/>
    <w:rsid w:val="56CD0D0F"/>
    <w:rsid w:val="5B4A68A6"/>
    <w:rsid w:val="5B9F4BBA"/>
    <w:rsid w:val="5CB609AD"/>
    <w:rsid w:val="5D6F0228"/>
    <w:rsid w:val="5F990172"/>
    <w:rsid w:val="603B0C1C"/>
    <w:rsid w:val="60E530F9"/>
    <w:rsid w:val="60F46CBA"/>
    <w:rsid w:val="626B7734"/>
    <w:rsid w:val="63333FD9"/>
    <w:rsid w:val="63724157"/>
    <w:rsid w:val="64A02D7A"/>
    <w:rsid w:val="64AA1FA9"/>
    <w:rsid w:val="65D26342"/>
    <w:rsid w:val="664803B2"/>
    <w:rsid w:val="665E094F"/>
    <w:rsid w:val="677671A1"/>
    <w:rsid w:val="67DF6C31"/>
    <w:rsid w:val="6A7E47DD"/>
    <w:rsid w:val="6D0240E7"/>
    <w:rsid w:val="6D2E23EC"/>
    <w:rsid w:val="71074DB7"/>
    <w:rsid w:val="7AF24F4C"/>
    <w:rsid w:val="7DCB0E4A"/>
    <w:rsid w:val="7FAA1A8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3">
    <w:name w:val="Body Text"/>
    <w:basedOn w:val="1"/>
    <w:semiHidden/>
    <w:qFormat/>
    <w:uiPriority w:val="0"/>
    <w:rPr>
      <w:rFonts w:ascii="仿宋" w:hAnsi="仿宋" w:eastAsia="仿宋" w:cs="仿宋"/>
      <w:sz w:val="31"/>
      <w:szCs w:val="3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宋体" w:hAnsi="宋体" w:eastAsia="宋体" w:cs="宋体"/>
      <w:sz w:val="20"/>
      <w:szCs w:val="20"/>
      <w:lang w:val="en-US" w:eastAsia="en-US" w:bidi="ar-SA"/>
    </w:rPr>
  </w:style>
  <w:style w:type="character" w:customStyle="1" w:styleId="10">
    <w:name w:val="font11"/>
    <w:basedOn w:val="7"/>
    <w:qFormat/>
    <w:uiPriority w:val="0"/>
    <w:rPr>
      <w:rFonts w:hint="eastAsia" w:ascii="宋体" w:hAnsi="宋体" w:eastAsia="宋体" w:cs="宋体"/>
      <w:b/>
      <w:bCs/>
      <w:color w:val="FFFFFF"/>
      <w:sz w:val="18"/>
      <w:szCs w:val="18"/>
      <w:u w:val="none"/>
    </w:rPr>
  </w:style>
  <w:style w:type="character" w:customStyle="1" w:styleId="11">
    <w:name w:val="font31"/>
    <w:basedOn w:val="7"/>
    <w:qFormat/>
    <w:uiPriority w:val="0"/>
    <w:rPr>
      <w:rFonts w:hint="eastAsia" w:ascii="宋体" w:hAnsi="宋体" w:eastAsia="宋体" w:cs="宋体"/>
      <w:color w:val="FFFFFF"/>
      <w:sz w:val="18"/>
      <w:szCs w:val="18"/>
      <w:u w:val="none"/>
    </w:rPr>
  </w:style>
  <w:style w:type="character" w:customStyle="1" w:styleId="12">
    <w:name w:val="font41"/>
    <w:basedOn w:val="7"/>
    <w:qFormat/>
    <w:uiPriority w:val="0"/>
    <w:rPr>
      <w:rFonts w:hint="default" w:ascii="Times New Roman" w:hAnsi="Times New Roman" w:cs="Times New Roman"/>
      <w:b/>
      <w:bCs/>
      <w:color w:val="FFFFFF"/>
      <w:sz w:val="18"/>
      <w:szCs w:val="18"/>
      <w:u w:val="none"/>
    </w:rPr>
  </w:style>
  <w:style w:type="character" w:customStyle="1" w:styleId="13">
    <w:name w:val="font21"/>
    <w:basedOn w:val="7"/>
    <w:qFormat/>
    <w:uiPriority w:val="0"/>
    <w:rPr>
      <w:rFonts w:hint="eastAsia" w:ascii="宋体" w:hAnsi="宋体" w:eastAsia="宋体" w:cs="宋体"/>
      <w:color w:val="000000"/>
      <w:sz w:val="20"/>
      <w:szCs w:val="20"/>
      <w:u w:val="none"/>
    </w:rPr>
  </w:style>
  <w:style w:type="character" w:customStyle="1" w:styleId="14">
    <w:name w:val="font61"/>
    <w:basedOn w:val="7"/>
    <w:qFormat/>
    <w:uiPriority w:val="0"/>
    <w:rPr>
      <w:rFonts w:hint="default" w:ascii="Times New Roman" w:hAnsi="Times New Roman" w:cs="Times New Roman"/>
      <w:color w:val="FFFFFF"/>
      <w:sz w:val="20"/>
      <w:szCs w:val="20"/>
      <w:u w:val="none"/>
    </w:rPr>
  </w:style>
  <w:style w:type="paragraph"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2418</Words>
  <Characters>3195</Characters>
  <TotalTime>9</TotalTime>
  <ScaleCrop>false</ScaleCrop>
  <LinksUpToDate>false</LinksUpToDate>
  <CharactersWithSpaces>3365</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2024-03-18T18:00:00Z</dcterms:created>
  <dc:creator>Administrator</dc:creator>
  <cp:lastModifiedBy>自由卐叛变</cp:lastModifiedBy>
  <cp:lastPrinted>2026-04-21T07:06:00Z</cp:lastPrinted>
  <dcterms:modified xsi:type="dcterms:W3CDTF">2026-07-24T07:16:04Z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2024-04-26T09:55:29Z</vt:filetime>
  </property>
  <property fmtid="{D5CDD505-2E9C-101B-9397-08002B2CF9AE}" pid="4" name="KSOProductBuildVer">
    <vt:lpwstr>2052-12.1.0.26895</vt:lpwstr>
  </property>
  <property fmtid="{D5CDD505-2E9C-101B-9397-08002B2CF9AE}" pid="5" name="ICV">
    <vt:lpwstr>610C2E2F926147B5B21FB00AE3F2F893_13</vt:lpwstr>
  </property>
  <property fmtid="{D5CDD505-2E9C-101B-9397-08002B2CF9AE}" pid="6" name="KSOTemplateDocerSaveRecord">
    <vt:lpwstr>eyJoZGlkIjoiZmQ2M2U5OGI3NDUzNTZlNDZlNGRlOGU1YTY3NzQzYjIifQ==</vt:lpwstr>
  </property>
</Properties>
</file>