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1580E">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outlineLvl w:val="0"/>
        <w:rPr>
          <w:rFonts w:hint="default" w:ascii="Times New Roman" w:hAnsi="Times New Roman" w:eastAsia="方正公文小标宋" w:cs="Times New Roman"/>
          <w:b w:val="0"/>
          <w:bCs w:val="0"/>
          <w:sz w:val="36"/>
          <w:szCs w:val="36"/>
        </w:rPr>
      </w:pPr>
      <w:r>
        <w:rPr>
          <w:rFonts w:hint="default" w:ascii="Times New Roman" w:hAnsi="Times New Roman" w:eastAsia="方正公文小标宋" w:cs="Times New Roman"/>
          <w:b w:val="0"/>
          <w:bCs w:val="0"/>
          <w:spacing w:val="-5"/>
          <w:sz w:val="36"/>
          <w:szCs w:val="36"/>
          <w:lang w:eastAsia="zh-CN"/>
        </w:rPr>
        <w:t>义乌</w:t>
      </w:r>
      <w:r>
        <w:rPr>
          <w:rFonts w:hint="default" w:ascii="Times New Roman" w:hAnsi="Times New Roman" w:eastAsia="方正公文小标宋" w:cs="Times New Roman"/>
          <w:b w:val="0"/>
          <w:bCs w:val="0"/>
          <w:spacing w:val="-5"/>
          <w:sz w:val="36"/>
          <w:szCs w:val="36"/>
        </w:rPr>
        <w:t>农商银行 202</w:t>
      </w:r>
      <w:r>
        <w:rPr>
          <w:rFonts w:hint="default" w:ascii="Times New Roman" w:hAnsi="Times New Roman" w:eastAsia="方正公文小标宋" w:cs="Times New Roman"/>
          <w:b w:val="0"/>
          <w:bCs w:val="0"/>
          <w:spacing w:val="-5"/>
          <w:sz w:val="36"/>
          <w:szCs w:val="36"/>
          <w:lang w:val="en-US" w:eastAsia="zh-CN"/>
        </w:rPr>
        <w:t>5</w:t>
      </w:r>
      <w:r>
        <w:rPr>
          <w:rFonts w:hint="default" w:ascii="Times New Roman" w:hAnsi="Times New Roman" w:eastAsia="方正公文小标宋" w:cs="Times New Roman"/>
          <w:b w:val="0"/>
          <w:bCs w:val="0"/>
          <w:spacing w:val="-5"/>
          <w:sz w:val="36"/>
          <w:szCs w:val="36"/>
        </w:rPr>
        <w:t>年</w:t>
      </w:r>
      <w:r>
        <w:rPr>
          <w:rFonts w:hint="eastAsia" w:ascii="Times New Roman" w:hAnsi="Times New Roman" w:eastAsia="方正公文小标宋" w:cs="Times New Roman"/>
          <w:b w:val="0"/>
          <w:bCs w:val="0"/>
          <w:spacing w:val="-5"/>
          <w:sz w:val="36"/>
          <w:szCs w:val="36"/>
          <w:highlight w:val="none"/>
          <w:lang w:eastAsia="zh-CN"/>
        </w:rPr>
        <w:t>三</w:t>
      </w:r>
      <w:r>
        <w:rPr>
          <w:rFonts w:hint="default" w:ascii="Times New Roman" w:hAnsi="Times New Roman" w:eastAsia="方正公文小标宋" w:cs="Times New Roman"/>
          <w:b w:val="0"/>
          <w:bCs w:val="0"/>
          <w:color w:val="auto"/>
          <w:spacing w:val="-5"/>
          <w:sz w:val="36"/>
          <w:szCs w:val="36"/>
          <w:highlight w:val="none"/>
        </w:rPr>
        <w:t>季度</w:t>
      </w:r>
      <w:r>
        <w:rPr>
          <w:rFonts w:hint="default" w:ascii="Times New Roman" w:hAnsi="Times New Roman" w:eastAsia="方正公文小标宋" w:cs="Times New Roman"/>
          <w:b w:val="0"/>
          <w:bCs w:val="0"/>
          <w:spacing w:val="-5"/>
          <w:sz w:val="36"/>
          <w:szCs w:val="36"/>
        </w:rPr>
        <w:t>对外信息披露</w:t>
      </w:r>
    </w:p>
    <w:p w14:paraId="5D35F183">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ascii="Arial"/>
          <w:sz w:val="21"/>
        </w:rPr>
      </w:pPr>
    </w:p>
    <w:p w14:paraId="06EEC55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jc w:val="center"/>
        <w:textAlignment w:val="baseline"/>
        <w:rPr>
          <w:rFonts w:hint="eastAsia" w:ascii="黑体" w:hAnsi="黑体" w:eastAsia="黑体" w:cs="黑体"/>
          <w:spacing w:val="7"/>
          <w:sz w:val="32"/>
          <w:szCs w:val="32"/>
          <w:highlight w:val="yellow"/>
          <w:lang w:eastAsia="zh-CN"/>
        </w:rPr>
      </w:pPr>
      <w:r>
        <w:rPr>
          <w:rFonts w:hint="eastAsia" w:ascii="黑体" w:hAnsi="黑体" w:eastAsia="黑体" w:cs="黑体"/>
          <w:spacing w:val="7"/>
          <w:sz w:val="32"/>
          <w:szCs w:val="32"/>
          <w:highlight w:val="none"/>
          <w:lang w:eastAsia="zh-CN"/>
        </w:rPr>
        <w:t>第一节</w:t>
      </w:r>
      <w:r>
        <w:rPr>
          <w:rFonts w:hint="eastAsia" w:ascii="黑体" w:hAnsi="黑体" w:eastAsia="黑体" w:cs="黑体"/>
          <w:spacing w:val="7"/>
          <w:sz w:val="32"/>
          <w:szCs w:val="32"/>
          <w:highlight w:val="none"/>
          <w:lang w:val="en-US" w:eastAsia="zh-CN"/>
        </w:rPr>
        <w:t xml:space="preserve">  </w:t>
      </w:r>
      <w:r>
        <w:rPr>
          <w:rFonts w:ascii="黑体" w:hAnsi="黑体" w:eastAsia="黑体" w:cs="黑体"/>
          <w:spacing w:val="7"/>
          <w:sz w:val="32"/>
          <w:szCs w:val="32"/>
          <w:highlight w:val="none"/>
        </w:rPr>
        <w:t>财务状况</w:t>
      </w:r>
    </w:p>
    <w:tbl>
      <w:tblPr>
        <w:tblStyle w:val="6"/>
        <w:tblW w:w="76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75"/>
        <w:gridCol w:w="2700"/>
        <w:gridCol w:w="2860"/>
      </w:tblGrid>
      <w:tr w14:paraId="554EC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4775" w:type="dxa"/>
            <w:gridSpan w:val="2"/>
            <w:tcBorders>
              <w:top w:val="single" w:color="000000" w:sz="8" w:space="0"/>
              <w:left w:val="nil"/>
              <w:bottom w:val="single" w:color="000000" w:sz="4" w:space="0"/>
              <w:right w:val="single" w:color="000000" w:sz="4" w:space="0"/>
            </w:tcBorders>
            <w:shd w:val="clear" w:color="auto" w:fill="0070C0"/>
            <w:vAlign w:val="center"/>
          </w:tcPr>
          <w:p w14:paraId="14910A18">
            <w:pPr>
              <w:keepNext w:val="0"/>
              <w:keepLines w:val="0"/>
              <w:widowControl/>
              <w:suppressLineNumbers w:val="0"/>
              <w:jc w:val="center"/>
              <w:textAlignment w:val="center"/>
              <w:rPr>
                <w:rFonts w:hint="eastAsia" w:ascii="宋体" w:hAnsi="宋体" w:eastAsia="宋体" w:cs="宋体"/>
                <w:b/>
                <w:bCs/>
                <w:i w:val="0"/>
                <w:iCs w:val="0"/>
                <w:color w:val="FFFFFF"/>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项</w:t>
            </w:r>
            <w:r>
              <w:rPr>
                <w:rFonts w:hint="eastAsia" w:ascii="宋体" w:hAnsi="宋体" w:eastAsia="宋体" w:cs="宋体"/>
                <w:i w:val="0"/>
                <w:iCs w:val="0"/>
                <w:snapToGrid w:val="0"/>
                <w:color w:val="000000"/>
                <w:kern w:val="0"/>
                <w:sz w:val="20"/>
                <w:szCs w:val="20"/>
                <w:u w:val="none"/>
                <w:lang w:val="en-US" w:eastAsia="zh-CN" w:bidi="ar"/>
              </w:rPr>
              <w:t xml:space="preserve">    </w:t>
            </w:r>
            <w:r>
              <w:rPr>
                <w:rFonts w:hint="eastAsia" w:ascii="宋体" w:hAnsi="宋体" w:eastAsia="宋体" w:cs="宋体"/>
                <w:b/>
                <w:bCs/>
                <w:i w:val="0"/>
                <w:iCs w:val="0"/>
                <w:snapToGrid w:val="0"/>
                <w:color w:val="000000"/>
                <w:kern w:val="0"/>
                <w:sz w:val="20"/>
                <w:szCs w:val="20"/>
                <w:u w:val="none"/>
                <w:lang w:val="en-US" w:eastAsia="zh-CN" w:bidi="ar"/>
              </w:rPr>
              <w:t>目</w:t>
            </w:r>
          </w:p>
        </w:tc>
        <w:tc>
          <w:tcPr>
            <w:tcW w:w="2860" w:type="dxa"/>
            <w:tcBorders>
              <w:top w:val="single" w:color="000000" w:sz="8" w:space="0"/>
              <w:left w:val="single" w:color="000000" w:sz="4" w:space="0"/>
              <w:bottom w:val="single" w:color="000000" w:sz="4" w:space="0"/>
              <w:right w:val="nil"/>
            </w:tcBorders>
            <w:shd w:val="clear" w:color="auto" w:fill="0070C0"/>
            <w:vAlign w:val="center"/>
          </w:tcPr>
          <w:p w14:paraId="20B77185">
            <w:pPr>
              <w:keepNext w:val="0"/>
              <w:keepLines w:val="0"/>
              <w:widowControl/>
              <w:suppressLineNumbers w:val="0"/>
              <w:jc w:val="center"/>
              <w:textAlignment w:val="center"/>
              <w:rPr>
                <w:rFonts w:hint="default" w:ascii="Times New Roman" w:hAnsi="Times New Roman" w:eastAsia="宋体" w:cs="Times New Roman"/>
                <w:b/>
                <w:bCs/>
                <w:i w:val="0"/>
                <w:iCs w:val="0"/>
                <w:color w:val="FFFFFF"/>
                <w:sz w:val="20"/>
                <w:szCs w:val="20"/>
                <w:highlight w:val="yellow"/>
                <w:u w:val="none"/>
              </w:rPr>
            </w:pPr>
            <w:r>
              <w:rPr>
                <w:rFonts w:hint="default" w:ascii="Times New Roman" w:hAnsi="Times New Roman" w:eastAsia="宋体" w:cs="Times New Roman"/>
                <w:b/>
                <w:bCs/>
                <w:i w:val="0"/>
                <w:iCs w:val="0"/>
                <w:snapToGrid w:val="0"/>
                <w:color w:val="000000"/>
                <w:kern w:val="0"/>
                <w:sz w:val="20"/>
                <w:szCs w:val="20"/>
                <w:highlight w:val="none"/>
                <w:u w:val="none"/>
                <w:lang w:val="en-US" w:eastAsia="zh-CN" w:bidi="ar"/>
              </w:rPr>
              <w:t>202</w:t>
            </w:r>
            <w:r>
              <w:rPr>
                <w:rFonts w:hint="eastAsia" w:ascii="Times New Roman" w:hAnsi="Times New Roman" w:eastAsia="宋体" w:cs="Times New Roman"/>
                <w:b/>
                <w:bCs/>
                <w:i w:val="0"/>
                <w:iCs w:val="0"/>
                <w:snapToGrid w:val="0"/>
                <w:color w:val="000000"/>
                <w:kern w:val="0"/>
                <w:sz w:val="20"/>
                <w:szCs w:val="20"/>
                <w:highlight w:val="none"/>
                <w:u w:val="none"/>
                <w:lang w:val="en-US" w:eastAsia="zh-CN" w:bidi="ar"/>
              </w:rPr>
              <w:t>5</w:t>
            </w:r>
            <w:r>
              <w:rPr>
                <w:rFonts w:hint="eastAsia" w:ascii="宋体" w:hAnsi="宋体" w:eastAsia="宋体" w:cs="宋体"/>
                <w:b/>
                <w:bCs/>
                <w:i w:val="0"/>
                <w:iCs w:val="0"/>
                <w:snapToGrid w:val="0"/>
                <w:color w:val="000000"/>
                <w:kern w:val="0"/>
                <w:sz w:val="20"/>
                <w:szCs w:val="20"/>
                <w:highlight w:val="none"/>
                <w:u w:val="none"/>
                <w:lang w:val="en-US" w:eastAsia="zh-CN" w:bidi="ar"/>
              </w:rPr>
              <w:t>年三季度末</w:t>
            </w:r>
          </w:p>
        </w:tc>
      </w:tr>
      <w:tr w14:paraId="62596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restart"/>
            <w:tcBorders>
              <w:top w:val="single" w:color="000000" w:sz="4" w:space="0"/>
              <w:left w:val="nil"/>
              <w:bottom w:val="single" w:color="000000" w:sz="4" w:space="0"/>
              <w:right w:val="single" w:color="000000" w:sz="4" w:space="0"/>
            </w:tcBorders>
            <w:shd w:val="clear" w:color="auto" w:fill="auto"/>
            <w:vAlign w:val="center"/>
          </w:tcPr>
          <w:p w14:paraId="34ACA2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规模指标</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A84C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资产总额（亿元）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3649B18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1510.28</w:t>
            </w:r>
          </w:p>
        </w:tc>
      </w:tr>
      <w:tr w14:paraId="04086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4AAFB722">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8D36">
            <w:pPr>
              <w:keepNext w:val="0"/>
              <w:keepLines w:val="0"/>
              <w:widowControl/>
              <w:suppressLineNumbers w:val="0"/>
              <w:ind w:firstLine="200" w:firstLineChars="10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各项贷款（亿元）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5528F50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1068.15</w:t>
            </w:r>
          </w:p>
        </w:tc>
      </w:tr>
      <w:tr w14:paraId="2CD0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3C4E15AD">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0C63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负债总额（亿元）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0622FCC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1396.84</w:t>
            </w:r>
          </w:p>
        </w:tc>
      </w:tr>
      <w:tr w14:paraId="54EE3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43E5EBBC">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55BDF">
            <w:pPr>
              <w:keepNext w:val="0"/>
              <w:keepLines w:val="0"/>
              <w:widowControl/>
              <w:suppressLineNumbers w:val="0"/>
              <w:ind w:firstLine="200" w:firstLineChars="10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各项存款（亿元）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0D6BD89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1187.13</w:t>
            </w:r>
          </w:p>
        </w:tc>
      </w:tr>
      <w:tr w14:paraId="2E328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453CA1D0">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375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所有者权益（亿元）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4A9748A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113.45</w:t>
            </w:r>
          </w:p>
        </w:tc>
      </w:tr>
      <w:tr w14:paraId="109AD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61C17459">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D420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每股净资产（元）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0817CBA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6.03</w:t>
            </w:r>
          </w:p>
        </w:tc>
      </w:tr>
      <w:tr w14:paraId="25B37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restart"/>
            <w:tcBorders>
              <w:top w:val="single" w:color="000000" w:sz="4" w:space="0"/>
              <w:left w:val="nil"/>
              <w:bottom w:val="single" w:color="000000" w:sz="4" w:space="0"/>
              <w:right w:val="single" w:color="000000" w:sz="4" w:space="0"/>
            </w:tcBorders>
            <w:shd w:val="clear" w:color="auto" w:fill="auto"/>
            <w:vAlign w:val="center"/>
          </w:tcPr>
          <w:p w14:paraId="2FB4D5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盈利指标</w:t>
            </w: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FDE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营业收入（亿元）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3E87E06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22.06</w:t>
            </w:r>
          </w:p>
        </w:tc>
      </w:tr>
      <w:tr w14:paraId="7EE74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628153B2">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3C27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营业支出（亿元）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7F2BF2E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11.38</w:t>
            </w:r>
          </w:p>
        </w:tc>
      </w:tr>
      <w:tr w14:paraId="03388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7BB7B9C2">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28B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利润总额（亿元）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73DD86F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10.68</w:t>
            </w:r>
          </w:p>
        </w:tc>
      </w:tr>
      <w:tr w14:paraId="33A54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72C39F41">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E9D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净利润（亿元）</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34BB45C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9.26</w:t>
            </w:r>
          </w:p>
        </w:tc>
      </w:tr>
      <w:tr w14:paraId="07481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4FC7F0C5">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404A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成本收入比（%）</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35E9022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26.28</w:t>
            </w:r>
          </w:p>
        </w:tc>
      </w:tr>
      <w:tr w14:paraId="3085E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restart"/>
            <w:tcBorders>
              <w:top w:val="single" w:color="000000" w:sz="4" w:space="0"/>
              <w:left w:val="nil"/>
              <w:bottom w:val="single" w:color="000000" w:sz="4" w:space="0"/>
              <w:right w:val="single" w:color="000000" w:sz="4" w:space="0"/>
            </w:tcBorders>
            <w:shd w:val="clear" w:color="auto" w:fill="auto"/>
            <w:vAlign w:val="center"/>
          </w:tcPr>
          <w:p w14:paraId="58E2AC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资产质量指标</w:t>
            </w:r>
          </w:p>
        </w:tc>
        <w:tc>
          <w:tcPr>
            <w:tcW w:w="2700" w:type="dxa"/>
            <w:tcBorders>
              <w:top w:val="single" w:color="000000" w:sz="4" w:space="0"/>
              <w:left w:val="nil"/>
              <w:bottom w:val="single" w:color="000000" w:sz="4" w:space="0"/>
              <w:right w:val="single" w:color="000000" w:sz="4" w:space="0"/>
            </w:tcBorders>
            <w:shd w:val="clear" w:color="auto" w:fill="auto"/>
            <w:vAlign w:val="center"/>
          </w:tcPr>
          <w:p w14:paraId="255C744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不良贷款率（%）</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5D0C00C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0.77</w:t>
            </w:r>
          </w:p>
        </w:tc>
      </w:tr>
      <w:tr w14:paraId="76182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1CDCD301">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nil"/>
              <w:bottom w:val="single" w:color="000000" w:sz="4" w:space="0"/>
              <w:right w:val="single" w:color="000000" w:sz="4" w:space="0"/>
            </w:tcBorders>
            <w:shd w:val="clear" w:color="auto" w:fill="auto"/>
            <w:vAlign w:val="center"/>
          </w:tcPr>
          <w:p w14:paraId="33CEEF2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拨备覆盖率（%）</w:t>
            </w:r>
          </w:p>
        </w:tc>
        <w:tc>
          <w:tcPr>
            <w:tcW w:w="2860" w:type="dxa"/>
            <w:tcBorders>
              <w:top w:val="single" w:color="000000" w:sz="4" w:space="0"/>
              <w:left w:val="single" w:color="000000" w:sz="4" w:space="0"/>
              <w:bottom w:val="single" w:color="000000" w:sz="4" w:space="0"/>
              <w:right w:val="nil"/>
            </w:tcBorders>
            <w:shd w:val="clear" w:color="auto" w:fill="auto"/>
            <w:vAlign w:val="center"/>
          </w:tcPr>
          <w:p w14:paraId="2325BC1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595.35</w:t>
            </w:r>
          </w:p>
        </w:tc>
      </w:tr>
      <w:tr w14:paraId="3F6AA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2075" w:type="dxa"/>
            <w:vMerge w:val="continue"/>
            <w:tcBorders>
              <w:top w:val="single" w:color="000000" w:sz="4" w:space="0"/>
              <w:left w:val="nil"/>
              <w:bottom w:val="single" w:color="000000" w:sz="4" w:space="0"/>
              <w:right w:val="single" w:color="000000" w:sz="4" w:space="0"/>
            </w:tcBorders>
            <w:shd w:val="clear" w:color="auto" w:fill="auto"/>
            <w:vAlign w:val="center"/>
          </w:tcPr>
          <w:p w14:paraId="73B8C93E">
            <w:pPr>
              <w:jc w:val="left"/>
              <w:rPr>
                <w:rFonts w:hint="eastAsia" w:ascii="宋体" w:hAnsi="宋体" w:eastAsia="宋体" w:cs="宋体"/>
                <w:i w:val="0"/>
                <w:iCs w:val="0"/>
                <w:color w:val="000000"/>
                <w:sz w:val="20"/>
                <w:szCs w:val="20"/>
                <w:u w:val="none"/>
              </w:rPr>
            </w:pPr>
          </w:p>
        </w:tc>
        <w:tc>
          <w:tcPr>
            <w:tcW w:w="2700" w:type="dxa"/>
            <w:tcBorders>
              <w:top w:val="single" w:color="000000" w:sz="4" w:space="0"/>
              <w:left w:val="nil"/>
              <w:bottom w:val="single" w:color="000000" w:sz="8" w:space="0"/>
              <w:right w:val="single" w:color="000000" w:sz="4" w:space="0"/>
            </w:tcBorders>
            <w:shd w:val="clear" w:color="auto" w:fill="auto"/>
            <w:vAlign w:val="center"/>
          </w:tcPr>
          <w:p w14:paraId="347001E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snapToGrid w:val="0"/>
                <w:color w:val="auto"/>
                <w:kern w:val="0"/>
                <w:sz w:val="20"/>
                <w:szCs w:val="20"/>
                <w:highlight w:val="none"/>
                <w:u w:val="none"/>
                <w:lang w:val="en-US" w:eastAsia="zh-CN" w:bidi="ar"/>
              </w:rPr>
              <w:t>贷款拨备率（%）</w:t>
            </w:r>
          </w:p>
        </w:tc>
        <w:tc>
          <w:tcPr>
            <w:tcW w:w="2860" w:type="dxa"/>
            <w:tcBorders>
              <w:top w:val="single" w:color="000000" w:sz="4" w:space="0"/>
              <w:left w:val="single" w:color="000000" w:sz="4" w:space="0"/>
              <w:bottom w:val="single" w:color="000000" w:sz="8" w:space="0"/>
              <w:right w:val="nil"/>
            </w:tcBorders>
            <w:shd w:val="clear" w:color="auto" w:fill="auto"/>
            <w:vAlign w:val="center"/>
          </w:tcPr>
          <w:p w14:paraId="474F4CB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shd w:val="clear" w:color="auto" w:fill="auto"/>
                <w:lang w:val="en-US"/>
              </w:rPr>
            </w:pPr>
            <w:r>
              <w:rPr>
                <w:rFonts w:hint="eastAsia" w:ascii="Times New Roman" w:hAnsi="Times New Roman" w:eastAsia="宋体" w:cs="Times New Roman"/>
                <w:i w:val="0"/>
                <w:iCs w:val="0"/>
                <w:snapToGrid w:val="0"/>
                <w:color w:val="auto"/>
                <w:kern w:val="0"/>
                <w:sz w:val="20"/>
                <w:szCs w:val="20"/>
                <w:highlight w:val="none"/>
                <w:u w:val="none"/>
                <w:shd w:val="clear" w:color="auto" w:fill="auto"/>
                <w:lang w:val="en-US" w:eastAsia="zh-CN" w:bidi="ar"/>
              </w:rPr>
              <w:t>4.58</w:t>
            </w:r>
          </w:p>
        </w:tc>
      </w:tr>
    </w:tbl>
    <w:p w14:paraId="61C7AC27">
      <w:pPr>
        <w:keepNext w:val="0"/>
        <w:keepLines w:val="0"/>
        <w:pageBreakBefore w:val="0"/>
        <w:widowControl/>
        <w:kinsoku w:val="0"/>
        <w:wordWrap/>
        <w:overflowPunct/>
        <w:topLinePunct w:val="0"/>
        <w:autoSpaceDE w:val="0"/>
        <w:autoSpaceDN w:val="0"/>
        <w:bidi w:val="0"/>
        <w:adjustRightInd w:val="0"/>
        <w:snapToGrid w:val="0"/>
        <w:spacing w:line="560" w:lineRule="exact"/>
        <w:ind w:firstLine="468" w:firstLineChars="200"/>
        <w:textAlignment w:val="baseline"/>
        <w:rPr>
          <w:rFonts w:ascii="楷体" w:hAnsi="楷体" w:eastAsia="楷体" w:cs="楷体"/>
          <w:spacing w:val="7"/>
          <w:sz w:val="22"/>
          <w:szCs w:val="22"/>
        </w:rPr>
      </w:pPr>
      <w:r>
        <w:rPr>
          <w:rFonts w:ascii="楷体" w:hAnsi="楷体" w:eastAsia="楷体" w:cs="楷体"/>
          <w:spacing w:val="7"/>
          <w:sz w:val="22"/>
          <w:szCs w:val="22"/>
        </w:rPr>
        <w:t>注：财务数据未经审计。</w:t>
      </w:r>
    </w:p>
    <w:p w14:paraId="519FC7CB">
      <w:pPr>
        <w:keepNext w:val="0"/>
        <w:keepLines w:val="0"/>
        <w:pageBreakBefore w:val="0"/>
        <w:widowControl/>
        <w:kinsoku w:val="0"/>
        <w:wordWrap/>
        <w:overflowPunct/>
        <w:topLinePunct w:val="0"/>
        <w:autoSpaceDE w:val="0"/>
        <w:autoSpaceDN w:val="0"/>
        <w:bidi w:val="0"/>
        <w:adjustRightInd w:val="0"/>
        <w:snapToGrid w:val="0"/>
        <w:spacing w:line="560" w:lineRule="exact"/>
        <w:ind w:firstLine="468" w:firstLineChars="200"/>
        <w:textAlignment w:val="baseline"/>
        <w:rPr>
          <w:rFonts w:hint="eastAsia" w:ascii="楷体" w:hAnsi="楷体" w:eastAsia="楷体" w:cs="楷体"/>
          <w:spacing w:val="7"/>
          <w:sz w:val="22"/>
          <w:szCs w:val="22"/>
          <w:lang w:eastAsia="zh-CN"/>
        </w:rPr>
      </w:pPr>
    </w:p>
    <w:p w14:paraId="254662B2">
      <w:pPr>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jc w:val="center"/>
        <w:textAlignment w:val="baseline"/>
        <w:rPr>
          <w:rFonts w:hint="eastAsia" w:ascii="黑体" w:hAnsi="黑体" w:eastAsia="黑体" w:cs="黑体"/>
          <w:spacing w:val="7"/>
          <w:sz w:val="32"/>
          <w:szCs w:val="32"/>
          <w:highlight w:val="none"/>
          <w:lang w:val="en-US" w:eastAsia="zh-CN"/>
        </w:rPr>
      </w:pPr>
      <w:r>
        <w:rPr>
          <w:rFonts w:hint="eastAsia" w:ascii="黑体" w:hAnsi="黑体" w:eastAsia="黑体" w:cs="黑体"/>
          <w:spacing w:val="7"/>
          <w:sz w:val="32"/>
          <w:szCs w:val="32"/>
          <w:highlight w:val="none"/>
          <w:lang w:val="en-US" w:eastAsia="zh-CN"/>
        </w:rPr>
        <w:t xml:space="preserve"> 资本信息</w:t>
      </w:r>
    </w:p>
    <w:p w14:paraId="7AE2CF1F">
      <w:pPr>
        <w:spacing w:line="560" w:lineRule="exact"/>
        <w:ind w:firstLine="640" w:firstLineChars="200"/>
        <w:rPr>
          <w:rFonts w:hint="default" w:ascii="Times New Roman" w:hAnsi="Times New Roman" w:eastAsia="仿宋" w:cs="Times New Roman"/>
          <w:sz w:val="32"/>
          <w:szCs w:val="32"/>
          <w:highlight w:val="yellow"/>
        </w:rPr>
      </w:pPr>
      <w:r>
        <w:rPr>
          <w:rFonts w:hint="default" w:ascii="Times New Roman" w:hAnsi="Times New Roman" w:eastAsia="仿宋" w:cs="Times New Roman"/>
          <w:b w:val="0"/>
          <w:bCs w:val="0"/>
          <w:color w:val="000000"/>
          <w:sz w:val="32"/>
          <w:szCs w:val="32"/>
          <w:lang w:eastAsia="zh-CN"/>
        </w:rPr>
        <w:t>本行</w:t>
      </w:r>
      <w:r>
        <w:rPr>
          <w:rFonts w:hint="default" w:ascii="Times New Roman" w:hAnsi="Times New Roman" w:eastAsia="仿宋" w:cs="Times New Roman"/>
          <w:sz w:val="32"/>
          <w:szCs w:val="32"/>
        </w:rPr>
        <w:t>根据国家金融监督管理总局发布的《商业银行资本管理办法》</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国家金融监督管理总局令2023年第4号</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的监管要求，通过公开官方网站，向投资者和社会公众披露本行并表口径资本充足率信息。</w:t>
      </w:r>
    </w:p>
    <w:p w14:paraId="7CA5F84B">
      <w:pPr>
        <w:pStyle w:val="15"/>
        <w:spacing w:line="560" w:lineRule="exact"/>
        <w:ind w:firstLine="640"/>
        <w:rPr>
          <w:rFonts w:hint="eastAsia" w:ascii="楷体" w:hAnsi="楷体" w:eastAsia="楷体" w:cs="楷体"/>
          <w:sz w:val="32"/>
          <w:szCs w:val="32"/>
        </w:rPr>
      </w:pPr>
      <w:r>
        <w:rPr>
          <w:rFonts w:hint="eastAsia" w:ascii="楷体" w:hAnsi="楷体" w:eastAsia="楷体" w:cs="楷体"/>
          <w:sz w:val="32"/>
          <w:szCs w:val="32"/>
          <w:lang w:eastAsia="zh-CN"/>
        </w:rPr>
        <w:t>（一）</w:t>
      </w:r>
      <w:r>
        <w:rPr>
          <w:rFonts w:hint="eastAsia" w:ascii="楷体" w:hAnsi="楷体" w:eastAsia="楷体" w:cs="楷体"/>
          <w:sz w:val="32"/>
          <w:szCs w:val="32"/>
        </w:rPr>
        <w:t>制度要求</w:t>
      </w:r>
    </w:p>
    <w:p w14:paraId="2B38196F">
      <w:pPr>
        <w:spacing w:line="56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国家金融监督管理总局对本行各级资本充足率最低要求（含储备资本2.5%）如下</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rPr>
        <w:t>核心一级资本充足率不得低于7.50%</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一级资本充足率不得低于8.50%</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资本充足率不得低于10.50%。</w:t>
      </w:r>
    </w:p>
    <w:p w14:paraId="5B1EC974">
      <w:pPr>
        <w:pStyle w:val="15"/>
        <w:spacing w:line="560" w:lineRule="exact"/>
        <w:ind w:firstLine="640"/>
        <w:rPr>
          <w:rFonts w:hint="eastAsia" w:ascii="楷体" w:hAnsi="楷体" w:eastAsia="楷体" w:cs="楷体"/>
          <w:sz w:val="32"/>
          <w:szCs w:val="32"/>
          <w:lang w:eastAsia="zh-CN"/>
        </w:rPr>
      </w:pPr>
      <w:r>
        <w:rPr>
          <w:rFonts w:hint="eastAsia" w:ascii="楷体" w:hAnsi="楷体" w:eastAsia="楷体" w:cs="楷体"/>
          <w:sz w:val="32"/>
          <w:szCs w:val="32"/>
          <w:lang w:eastAsia="zh-CN"/>
        </w:rPr>
        <w:t>（二）资本充足率计量范围</w:t>
      </w:r>
    </w:p>
    <w:p w14:paraId="239012EA">
      <w:pPr>
        <w:spacing w:line="56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本行依据《商业银行资本管理办法》进行并表资本充足率计量，计量范围包括下设附属机构</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浙江龙游义商村镇银行股份有限公司。</w:t>
      </w:r>
    </w:p>
    <w:p w14:paraId="0CCCDC71">
      <w:pPr>
        <w:pStyle w:val="15"/>
        <w:spacing w:line="560" w:lineRule="exact"/>
        <w:ind w:firstLine="640"/>
        <w:rPr>
          <w:rFonts w:hint="eastAsia" w:ascii="楷体" w:hAnsi="楷体" w:eastAsia="楷体" w:cs="楷体"/>
          <w:sz w:val="32"/>
          <w:szCs w:val="32"/>
          <w:lang w:eastAsia="zh-CN"/>
        </w:rPr>
      </w:pPr>
      <w:r>
        <w:rPr>
          <w:rFonts w:hint="eastAsia" w:ascii="楷体" w:hAnsi="楷体" w:eastAsia="楷体" w:cs="楷体"/>
          <w:sz w:val="32"/>
          <w:szCs w:val="32"/>
          <w:lang w:eastAsia="zh-CN"/>
        </w:rPr>
        <w:t>（三）资产充足率及风险资产情况</w:t>
      </w:r>
    </w:p>
    <w:p w14:paraId="3AA71846">
      <w:pPr>
        <w:spacing w:line="56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按照《商业银行资本管理办法》规定，本行机构划分标准适用于二档商业银行，其中信用风险采用权重法计量，市场风险采用简化标准法计量，操作风险采用基本指标法计量。在计量并表资本充足率时，采用按照集团二档行统一的计量方法进行资本并表。</w:t>
      </w:r>
      <w:r>
        <w:rPr>
          <w:rFonts w:hint="eastAsia" w:ascii="Times New Roman" w:hAnsi="Times New Roman" w:eastAsia="仿宋" w:cs="Times New Roman"/>
          <w:sz w:val="32"/>
          <w:szCs w:val="32"/>
        </w:rPr>
        <w:t>截至202</w:t>
      </w:r>
      <w:r>
        <w:rPr>
          <w:rFonts w:hint="eastAsia" w:ascii="Times New Roman" w:hAnsi="Times New Roman" w:eastAsia="仿宋" w:cs="Times New Roman"/>
          <w:sz w:val="32"/>
          <w:szCs w:val="32"/>
          <w:lang w:val="en-US" w:eastAsia="zh-CN"/>
        </w:rPr>
        <w:t>5</w:t>
      </w:r>
      <w:r>
        <w:rPr>
          <w:rFonts w:hint="eastAsia" w:ascii="Times New Roman" w:hAnsi="Times New Roman" w:eastAsia="仿宋" w:cs="Times New Roman"/>
          <w:sz w:val="32"/>
          <w:szCs w:val="32"/>
        </w:rPr>
        <w:t>年</w:t>
      </w:r>
      <w:r>
        <w:rPr>
          <w:rFonts w:hint="eastAsia" w:ascii="Times New Roman" w:hAnsi="Times New Roman" w:eastAsia="仿宋" w:cs="Times New Roman"/>
          <w:sz w:val="32"/>
          <w:szCs w:val="32"/>
          <w:lang w:val="en-US" w:eastAsia="zh-CN"/>
        </w:rPr>
        <w:t>9</w:t>
      </w:r>
      <w:r>
        <w:rPr>
          <w:rFonts w:hint="eastAsia" w:ascii="Times New Roman" w:hAnsi="Times New Roman" w:eastAsia="仿宋" w:cs="Times New Roman"/>
          <w:sz w:val="32"/>
          <w:szCs w:val="32"/>
        </w:rPr>
        <w:t>月</w:t>
      </w:r>
      <w:r>
        <w:rPr>
          <w:rFonts w:hint="eastAsia" w:ascii="Times New Roman" w:hAnsi="Times New Roman" w:eastAsia="仿宋" w:cs="Times New Roman"/>
          <w:sz w:val="32"/>
          <w:szCs w:val="32"/>
          <w:lang w:val="en-US" w:eastAsia="zh-CN"/>
        </w:rPr>
        <w:t>30</w:t>
      </w:r>
      <w:r>
        <w:rPr>
          <w:rFonts w:hint="eastAsia" w:ascii="Times New Roman" w:hAnsi="Times New Roman" w:eastAsia="仿宋" w:cs="Times New Roman"/>
          <w:sz w:val="32"/>
          <w:szCs w:val="32"/>
        </w:rPr>
        <w:t>日，本行并表口径的核心一级资本净额额</w:t>
      </w:r>
      <w:r>
        <w:rPr>
          <w:rFonts w:hint="eastAsia" w:ascii="Times New Roman" w:hAnsi="Times New Roman" w:eastAsia="仿宋" w:cs="Times New Roman"/>
          <w:sz w:val="32"/>
          <w:szCs w:val="32"/>
          <w:lang w:val="en-US" w:eastAsia="zh-CN"/>
        </w:rPr>
        <w:t>113.11</w:t>
      </w:r>
      <w:r>
        <w:rPr>
          <w:rFonts w:hint="eastAsia" w:ascii="Times New Roman" w:hAnsi="Times New Roman" w:eastAsia="仿宋" w:cs="Times New Roman"/>
          <w:sz w:val="32"/>
          <w:szCs w:val="32"/>
        </w:rPr>
        <w:t>亿元，一级资本净额</w:t>
      </w:r>
      <w:r>
        <w:rPr>
          <w:rFonts w:hint="eastAsia" w:ascii="Times New Roman" w:hAnsi="Times New Roman" w:eastAsia="仿宋" w:cs="Times New Roman"/>
          <w:sz w:val="32"/>
          <w:szCs w:val="32"/>
          <w:lang w:val="en-US" w:eastAsia="zh-CN"/>
        </w:rPr>
        <w:t>113.12</w:t>
      </w:r>
      <w:r>
        <w:rPr>
          <w:rFonts w:hint="eastAsia" w:ascii="Times New Roman" w:hAnsi="Times New Roman" w:eastAsia="仿宋" w:cs="Times New Roman"/>
          <w:sz w:val="32"/>
          <w:szCs w:val="32"/>
        </w:rPr>
        <w:t>亿元，资本净额</w:t>
      </w:r>
      <w:r>
        <w:rPr>
          <w:rFonts w:hint="eastAsia" w:ascii="Times New Roman" w:hAnsi="Times New Roman" w:eastAsia="仿宋" w:cs="Times New Roman"/>
          <w:sz w:val="32"/>
          <w:szCs w:val="32"/>
          <w:lang w:val="en-US" w:eastAsia="zh-CN"/>
        </w:rPr>
        <w:t>124.98</w:t>
      </w:r>
      <w:r>
        <w:rPr>
          <w:rFonts w:hint="eastAsia" w:ascii="Times New Roman" w:hAnsi="Times New Roman" w:eastAsia="仿宋" w:cs="Times New Roman"/>
          <w:sz w:val="32"/>
          <w:szCs w:val="32"/>
        </w:rPr>
        <w:t>亿元，风险加权资产</w:t>
      </w:r>
      <w:r>
        <w:rPr>
          <w:rFonts w:hint="eastAsia" w:ascii="Times New Roman" w:hAnsi="Times New Roman" w:eastAsia="仿宋" w:cs="Times New Roman"/>
          <w:sz w:val="32"/>
          <w:szCs w:val="32"/>
          <w:lang w:val="en-US" w:eastAsia="zh-CN"/>
        </w:rPr>
        <w:t>1008.51</w:t>
      </w:r>
      <w:r>
        <w:rPr>
          <w:rFonts w:hint="eastAsia" w:ascii="Times New Roman" w:hAnsi="Times New Roman" w:eastAsia="仿宋" w:cs="Times New Roman"/>
          <w:sz w:val="32"/>
          <w:szCs w:val="32"/>
        </w:rPr>
        <w:t>亿元，核心一级资本充足率为</w:t>
      </w:r>
      <w:r>
        <w:rPr>
          <w:rFonts w:hint="eastAsia" w:ascii="Times New Roman" w:hAnsi="Times New Roman" w:eastAsia="仿宋" w:cs="Times New Roman"/>
          <w:sz w:val="32"/>
          <w:szCs w:val="32"/>
          <w:lang w:val="en-US" w:eastAsia="zh-CN"/>
        </w:rPr>
        <w:t>11.22</w:t>
      </w:r>
      <w:r>
        <w:rPr>
          <w:rFonts w:hint="eastAsia" w:ascii="Times New Roman" w:hAnsi="Times New Roman" w:eastAsia="仿宋" w:cs="Times New Roman"/>
          <w:sz w:val="32"/>
          <w:szCs w:val="32"/>
        </w:rPr>
        <w:t>%，一级资本充足率为</w:t>
      </w:r>
      <w:r>
        <w:rPr>
          <w:rFonts w:hint="eastAsia" w:ascii="Times New Roman" w:hAnsi="Times New Roman" w:eastAsia="仿宋" w:cs="Times New Roman"/>
          <w:sz w:val="32"/>
          <w:szCs w:val="32"/>
          <w:lang w:val="en-US" w:eastAsia="zh-CN"/>
        </w:rPr>
        <w:t>11.22</w:t>
      </w:r>
      <w:r>
        <w:rPr>
          <w:rFonts w:hint="eastAsia" w:ascii="Times New Roman" w:hAnsi="Times New Roman" w:eastAsia="仿宋" w:cs="Times New Roman"/>
          <w:sz w:val="32"/>
          <w:szCs w:val="32"/>
        </w:rPr>
        <w:t>%，资本充足率为</w:t>
      </w:r>
      <w:r>
        <w:rPr>
          <w:rFonts w:hint="eastAsia" w:ascii="Times New Roman" w:hAnsi="Times New Roman" w:eastAsia="仿宋" w:cs="Times New Roman"/>
          <w:sz w:val="32"/>
          <w:szCs w:val="32"/>
          <w:lang w:val="en-US" w:eastAsia="zh-CN"/>
        </w:rPr>
        <w:t>12.39</w:t>
      </w:r>
      <w:r>
        <w:rPr>
          <w:rFonts w:hint="eastAsia" w:ascii="Times New Roman" w:hAnsi="Times New Roman" w:eastAsia="仿宋" w:cs="Times New Roman"/>
          <w:sz w:val="32"/>
          <w:szCs w:val="32"/>
        </w:rPr>
        <w:t>%；调整后表内外资产余额</w:t>
      </w:r>
      <w:r>
        <w:rPr>
          <w:rFonts w:hint="eastAsia" w:ascii="Times New Roman" w:hAnsi="Times New Roman" w:eastAsia="仿宋" w:cs="Times New Roman"/>
          <w:sz w:val="32"/>
          <w:szCs w:val="32"/>
          <w:lang w:val="en-US" w:eastAsia="zh-CN"/>
        </w:rPr>
        <w:t>1569.15</w:t>
      </w:r>
      <w:r>
        <w:rPr>
          <w:rFonts w:hint="eastAsia" w:ascii="Times New Roman" w:hAnsi="Times New Roman" w:eastAsia="仿宋" w:cs="Times New Roman"/>
          <w:sz w:val="32"/>
          <w:szCs w:val="32"/>
        </w:rPr>
        <w:t>亿元，杠杆率为</w:t>
      </w:r>
      <w:r>
        <w:rPr>
          <w:rFonts w:hint="eastAsia" w:ascii="Times New Roman" w:hAnsi="Times New Roman" w:eastAsia="仿宋" w:cs="Times New Roman"/>
          <w:sz w:val="32"/>
          <w:szCs w:val="32"/>
          <w:lang w:val="en-US" w:eastAsia="zh-CN"/>
        </w:rPr>
        <w:t>7.21</w:t>
      </w:r>
      <w:r>
        <w:rPr>
          <w:rFonts w:hint="eastAsia" w:ascii="Times New Roman" w:hAnsi="Times New Roman" w:eastAsia="仿宋" w:cs="Times New Roman"/>
          <w:sz w:val="32"/>
          <w:szCs w:val="32"/>
        </w:rPr>
        <w:t>%。核心资本充足率、一级资本充足率、资本充足率和杠杆率均高于监管部门要求的法定值。</w:t>
      </w:r>
    </w:p>
    <w:p w14:paraId="422EDD0F">
      <w:pPr>
        <w:spacing w:line="56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根据《商业银行资本管理办法》相关规定，本季度本行需披露的报表如下:</w:t>
      </w:r>
    </w:p>
    <w:p w14:paraId="08D20187">
      <w:pPr>
        <w:spacing w:line="560" w:lineRule="exact"/>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附表1：KM1监管并表关键审慎监管指标</w:t>
      </w:r>
    </w:p>
    <w:p w14:paraId="1DFA4E8A">
      <w:pPr>
        <w:spacing w:line="560" w:lineRule="exact"/>
        <w:ind w:right="320"/>
        <w:jc w:val="right"/>
        <w:rPr>
          <w:rFonts w:hint="eastAsia" w:ascii="Times New Roman" w:hAnsi="Times New Roman" w:eastAsia="仿宋_GB2312" w:cs="仿宋_GB2312"/>
          <w:sz w:val="24"/>
          <w:szCs w:val="24"/>
        </w:rPr>
      </w:pPr>
      <w:r>
        <w:rPr>
          <w:rFonts w:hint="eastAsia" w:ascii="Times New Roman" w:hAnsi="Times New Roman" w:eastAsia="仿宋_GB2312" w:cs="仿宋_GB2312"/>
          <w:sz w:val="32"/>
          <w:szCs w:val="32"/>
          <w:lang w:val="en-US" w:eastAsia="zh-CN"/>
        </w:rPr>
        <w:t xml:space="preserve">                                    </w:t>
      </w:r>
      <w:r>
        <w:rPr>
          <w:rFonts w:hint="eastAsia" w:ascii="Times New Roman" w:hAnsi="Times New Roman" w:eastAsia="仿宋_GB2312" w:cs="仿宋_GB2312"/>
          <w:sz w:val="24"/>
          <w:szCs w:val="24"/>
        </w:rPr>
        <w:t>单位：</w:t>
      </w:r>
      <w:r>
        <w:rPr>
          <w:rFonts w:hint="eastAsia" w:ascii="Times New Roman" w:hAnsi="Times New Roman" w:eastAsia="仿宋_GB2312" w:cs="仿宋_GB2312"/>
          <w:sz w:val="24"/>
          <w:szCs w:val="24"/>
          <w:lang w:eastAsia="zh-CN"/>
        </w:rPr>
        <w:t>人民币</w:t>
      </w:r>
      <w:r>
        <w:rPr>
          <w:rFonts w:hint="eastAsia" w:ascii="Times New Roman" w:hAnsi="Times New Roman" w:eastAsia="仿宋_GB2312" w:cs="仿宋_GB2312"/>
          <w:sz w:val="24"/>
          <w:szCs w:val="24"/>
        </w:rPr>
        <w:t>万元、%</w:t>
      </w:r>
    </w:p>
    <w:tbl>
      <w:tblPr>
        <w:tblStyle w:val="6"/>
        <w:tblW w:w="5210" w:type="pct"/>
        <w:tblInd w:w="0" w:type="dxa"/>
        <w:tblLayout w:type="fixed"/>
        <w:tblCellMar>
          <w:top w:w="0" w:type="dxa"/>
          <w:left w:w="108" w:type="dxa"/>
          <w:bottom w:w="0" w:type="dxa"/>
          <w:right w:w="108" w:type="dxa"/>
        </w:tblCellMar>
      </w:tblPr>
      <w:tblGrid>
        <w:gridCol w:w="477"/>
        <w:gridCol w:w="2228"/>
        <w:gridCol w:w="1338"/>
        <w:gridCol w:w="1327"/>
        <w:gridCol w:w="1327"/>
        <w:gridCol w:w="1347"/>
        <w:gridCol w:w="1281"/>
      </w:tblGrid>
      <w:tr w14:paraId="22B22FDE">
        <w:tblPrEx>
          <w:tblCellMar>
            <w:top w:w="0" w:type="dxa"/>
            <w:left w:w="108" w:type="dxa"/>
            <w:bottom w:w="0" w:type="dxa"/>
            <w:right w:w="108" w:type="dxa"/>
          </w:tblCellMar>
        </w:tblPrEx>
        <w:trPr>
          <w:trHeight w:val="567" w:hRule="exact"/>
        </w:trPr>
        <w:tc>
          <w:tcPr>
            <w:tcW w:w="1450" w:type="pct"/>
            <w:gridSpan w:val="2"/>
            <w:tcBorders>
              <w:top w:val="single" w:color="000000" w:sz="4" w:space="0"/>
              <w:left w:val="single" w:color="000000" w:sz="4" w:space="0"/>
              <w:bottom w:val="single" w:color="000000" w:sz="4" w:space="0"/>
              <w:right w:val="single" w:color="000000" w:sz="4" w:space="0"/>
            </w:tcBorders>
            <w:noWrap w:val="0"/>
            <w:vAlign w:val="center"/>
          </w:tcPr>
          <w:p w14:paraId="13DC0D68">
            <w:pPr>
              <w:widowControl/>
              <w:jc w:val="center"/>
              <w:textAlignment w:val="top"/>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项目</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0085E0A0">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202</w:t>
            </w:r>
            <w:r>
              <w:rPr>
                <w:rFonts w:hint="eastAsia" w:ascii="Times New Roman" w:hAnsi="Times New Roman" w:eastAsia="仿宋_GB2312" w:cs="仿宋_GB2312"/>
                <w:color w:val="000000"/>
                <w:kern w:val="0"/>
                <w:sz w:val="21"/>
                <w:szCs w:val="21"/>
                <w:lang w:val="en-US" w:eastAsia="zh-CN" w:bidi="ar"/>
              </w:rPr>
              <w:t>5</w:t>
            </w:r>
            <w:r>
              <w:rPr>
                <w:rFonts w:hint="eastAsia" w:ascii="Times New Roman" w:hAnsi="Times New Roman" w:eastAsia="仿宋_GB2312" w:cs="仿宋_GB2312"/>
                <w:color w:val="000000"/>
                <w:kern w:val="0"/>
                <w:sz w:val="21"/>
                <w:szCs w:val="21"/>
                <w:lang w:bidi="ar"/>
              </w:rPr>
              <w:t>年</w:t>
            </w:r>
            <w:r>
              <w:rPr>
                <w:rFonts w:hint="eastAsia" w:ascii="Times New Roman" w:hAnsi="Times New Roman" w:eastAsia="仿宋_GB2312" w:cs="仿宋_GB2312"/>
                <w:color w:val="000000"/>
                <w:kern w:val="0"/>
                <w:sz w:val="21"/>
                <w:szCs w:val="21"/>
                <w:lang w:val="en-US" w:eastAsia="zh-CN" w:bidi="ar"/>
              </w:rPr>
              <w:t>9</w:t>
            </w:r>
            <w:r>
              <w:rPr>
                <w:rFonts w:hint="eastAsia" w:ascii="Times New Roman" w:hAnsi="Times New Roman" w:eastAsia="仿宋_GB2312" w:cs="仿宋_GB2312"/>
                <w:color w:val="000000"/>
                <w:kern w:val="0"/>
                <w:sz w:val="21"/>
                <w:szCs w:val="21"/>
                <w:lang w:bidi="ar"/>
              </w:rPr>
              <w:t>月</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74D7F9E8">
            <w:pPr>
              <w:widowControl/>
              <w:jc w:val="center"/>
              <w:textAlignment w:val="center"/>
              <w:rPr>
                <w:rFonts w:hint="default"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val="en-US" w:eastAsia="zh-CN" w:bidi="ar"/>
              </w:rPr>
              <w:t>2025年6月</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4E056FF9">
            <w:pPr>
              <w:widowControl/>
              <w:jc w:val="center"/>
              <w:textAlignment w:val="center"/>
              <w:rPr>
                <w:rFonts w:hint="eastAsia" w:ascii="Times New Roman" w:hAnsi="Times New Roman" w:eastAsia="仿宋_GB2312" w:cs="仿宋_GB2312"/>
                <w:color w:val="000000"/>
                <w:kern w:val="0"/>
                <w:sz w:val="21"/>
                <w:szCs w:val="21"/>
                <w:lang w:bidi="ar"/>
              </w:rPr>
            </w:pPr>
            <w:r>
              <w:rPr>
                <w:rFonts w:hint="eastAsia" w:ascii="Times New Roman" w:hAnsi="Times New Roman" w:eastAsia="仿宋_GB2312" w:cs="仿宋_GB2312"/>
                <w:color w:val="000000"/>
                <w:kern w:val="0"/>
                <w:sz w:val="21"/>
                <w:szCs w:val="21"/>
                <w:lang w:bidi="ar"/>
              </w:rPr>
              <w:t>202</w:t>
            </w:r>
            <w:r>
              <w:rPr>
                <w:rFonts w:hint="eastAsia" w:ascii="Times New Roman" w:hAnsi="Times New Roman" w:eastAsia="仿宋_GB2312" w:cs="仿宋_GB2312"/>
                <w:color w:val="000000"/>
                <w:kern w:val="0"/>
                <w:sz w:val="21"/>
                <w:szCs w:val="21"/>
                <w:lang w:val="en-US" w:eastAsia="zh-CN" w:bidi="ar"/>
              </w:rPr>
              <w:t>5</w:t>
            </w:r>
            <w:r>
              <w:rPr>
                <w:rFonts w:hint="eastAsia" w:ascii="Times New Roman" w:hAnsi="Times New Roman" w:eastAsia="仿宋_GB2312" w:cs="仿宋_GB2312"/>
                <w:color w:val="000000"/>
                <w:kern w:val="0"/>
                <w:sz w:val="21"/>
                <w:szCs w:val="21"/>
                <w:lang w:bidi="ar"/>
              </w:rPr>
              <w:t>年</w:t>
            </w:r>
            <w:r>
              <w:rPr>
                <w:rFonts w:hint="eastAsia" w:ascii="Times New Roman" w:hAnsi="Times New Roman" w:eastAsia="仿宋_GB2312" w:cs="仿宋_GB2312"/>
                <w:color w:val="000000"/>
                <w:kern w:val="0"/>
                <w:sz w:val="21"/>
                <w:szCs w:val="21"/>
                <w:lang w:val="en-US" w:eastAsia="zh-CN" w:bidi="ar"/>
              </w:rPr>
              <w:t>3</w:t>
            </w:r>
            <w:r>
              <w:rPr>
                <w:rFonts w:hint="eastAsia" w:ascii="Times New Roman" w:hAnsi="Times New Roman" w:eastAsia="仿宋_GB2312" w:cs="仿宋_GB2312"/>
                <w:color w:val="000000"/>
                <w:kern w:val="0"/>
                <w:sz w:val="21"/>
                <w:szCs w:val="21"/>
                <w:lang w:bidi="ar"/>
              </w:rPr>
              <w:t>月</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45274233">
            <w:pPr>
              <w:widowControl/>
              <w:jc w:val="center"/>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2024年</w:t>
            </w:r>
            <w:r>
              <w:rPr>
                <w:rFonts w:hint="eastAsia" w:ascii="Times New Roman" w:hAnsi="Times New Roman" w:eastAsia="仿宋_GB2312" w:cs="仿宋_GB2312"/>
                <w:color w:val="000000"/>
                <w:kern w:val="0"/>
                <w:sz w:val="21"/>
                <w:szCs w:val="21"/>
                <w:lang w:val="en-US" w:eastAsia="zh-CN" w:bidi="ar"/>
              </w:rPr>
              <w:t>12</w:t>
            </w:r>
            <w:r>
              <w:rPr>
                <w:rFonts w:hint="eastAsia" w:ascii="Times New Roman" w:hAnsi="Times New Roman" w:eastAsia="仿宋_GB2312" w:cs="仿宋_GB2312"/>
                <w:color w:val="000000"/>
                <w:kern w:val="0"/>
                <w:sz w:val="21"/>
                <w:szCs w:val="21"/>
                <w:lang w:bidi="ar"/>
              </w:rPr>
              <w:t>月</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001D6D69">
            <w:pPr>
              <w:widowControl/>
              <w:jc w:val="center"/>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bidi="ar"/>
              </w:rPr>
              <w:t>2024年</w:t>
            </w:r>
            <w:r>
              <w:rPr>
                <w:rFonts w:hint="eastAsia" w:ascii="Times New Roman" w:hAnsi="Times New Roman" w:eastAsia="仿宋_GB2312" w:cs="仿宋_GB2312"/>
                <w:color w:val="000000"/>
                <w:kern w:val="0"/>
                <w:sz w:val="21"/>
                <w:szCs w:val="21"/>
                <w:lang w:val="en-US" w:eastAsia="zh-CN" w:bidi="ar"/>
              </w:rPr>
              <w:t>9</w:t>
            </w:r>
            <w:r>
              <w:rPr>
                <w:rFonts w:hint="eastAsia" w:ascii="Times New Roman" w:hAnsi="Times New Roman" w:eastAsia="仿宋_GB2312" w:cs="仿宋_GB2312"/>
                <w:color w:val="000000"/>
                <w:kern w:val="0"/>
                <w:sz w:val="21"/>
                <w:szCs w:val="21"/>
                <w:lang w:bidi="ar"/>
              </w:rPr>
              <w:t>月</w:t>
            </w:r>
          </w:p>
        </w:tc>
      </w:tr>
      <w:tr w14:paraId="52D2F300">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52244E3">
            <w:pPr>
              <w:rPr>
                <w:rFonts w:hint="eastAsia" w:ascii="Times New Roman" w:hAnsi="Times New Roman" w:eastAsia="仿宋_GB2312" w:cs="仿宋_GB2312"/>
                <w:b/>
                <w:bCs/>
                <w:color w:val="000000"/>
                <w:sz w:val="21"/>
                <w:szCs w:val="21"/>
              </w:rPr>
            </w:pPr>
          </w:p>
        </w:tc>
        <w:tc>
          <w:tcPr>
            <w:tcW w:w="1911"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2C658A9">
            <w:pPr>
              <w:widowControl/>
              <w:jc w:val="left"/>
              <w:textAlignment w:val="top"/>
              <w:rPr>
                <w:rFonts w:hint="eastAsia" w:ascii="Times New Roman" w:hAnsi="Times New Roman" w:eastAsia="仿宋_GB2312" w:cs="仿宋_GB2312"/>
                <w:b/>
                <w:bCs/>
                <w:color w:val="000000"/>
                <w:sz w:val="21"/>
                <w:szCs w:val="21"/>
              </w:rPr>
            </w:pPr>
            <w:r>
              <w:rPr>
                <w:rFonts w:hint="eastAsia" w:ascii="Times New Roman" w:hAnsi="Times New Roman" w:eastAsia="仿宋_GB2312" w:cs="仿宋_GB2312"/>
                <w:b/>
                <w:bCs/>
                <w:color w:val="000000"/>
                <w:kern w:val="0"/>
                <w:sz w:val="21"/>
                <w:szCs w:val="21"/>
                <w:lang w:bidi="ar"/>
              </w:rPr>
              <w:t>可用资本（数额）</w:t>
            </w:r>
          </w:p>
        </w:tc>
        <w:tc>
          <w:tcPr>
            <w:tcW w:w="71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F2BEAE8">
            <w:pPr>
              <w:widowControl/>
              <w:jc w:val="left"/>
              <w:textAlignment w:val="top"/>
              <w:rPr>
                <w:rFonts w:hint="eastAsia" w:ascii="Times New Roman" w:hAnsi="Times New Roman" w:eastAsia="仿宋_GB2312" w:cs="仿宋_GB2312"/>
                <w:b/>
                <w:bCs/>
                <w:color w:val="000000"/>
                <w:kern w:val="0"/>
                <w:sz w:val="21"/>
                <w:szCs w:val="21"/>
                <w:lang w:bidi="ar"/>
              </w:rPr>
            </w:pPr>
          </w:p>
        </w:tc>
        <w:tc>
          <w:tcPr>
            <w:tcW w:w="71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3C4A009">
            <w:pPr>
              <w:widowControl/>
              <w:jc w:val="left"/>
              <w:textAlignment w:val="top"/>
              <w:rPr>
                <w:rFonts w:hint="eastAsia" w:ascii="Times New Roman" w:hAnsi="Times New Roman" w:eastAsia="仿宋_GB2312" w:cs="仿宋_GB2312"/>
                <w:b/>
                <w:bCs/>
                <w:color w:val="000000"/>
                <w:kern w:val="0"/>
                <w:sz w:val="21"/>
                <w:szCs w:val="21"/>
                <w:lang w:bidi="ar"/>
              </w:rPr>
            </w:pPr>
          </w:p>
        </w:tc>
        <w:tc>
          <w:tcPr>
            <w:tcW w:w="722"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C404140">
            <w:pPr>
              <w:widowControl/>
              <w:jc w:val="left"/>
              <w:textAlignment w:val="top"/>
              <w:rPr>
                <w:rFonts w:hint="eastAsia" w:ascii="Times New Roman" w:hAnsi="Times New Roman" w:eastAsia="仿宋_GB2312" w:cs="仿宋_GB2312"/>
                <w:b/>
                <w:bCs/>
                <w:color w:val="000000"/>
                <w:kern w:val="0"/>
                <w:sz w:val="21"/>
                <w:szCs w:val="21"/>
                <w:lang w:bidi="ar"/>
              </w:rPr>
            </w:pPr>
          </w:p>
        </w:tc>
        <w:tc>
          <w:tcPr>
            <w:tcW w:w="686"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8012EC4">
            <w:pPr>
              <w:widowControl/>
              <w:jc w:val="left"/>
              <w:textAlignment w:val="top"/>
              <w:rPr>
                <w:rFonts w:hint="eastAsia" w:ascii="Times New Roman" w:hAnsi="Times New Roman" w:eastAsia="仿宋_GB2312" w:cs="仿宋_GB2312"/>
                <w:b/>
                <w:bCs/>
                <w:color w:val="000000"/>
                <w:kern w:val="0"/>
                <w:sz w:val="21"/>
                <w:szCs w:val="21"/>
                <w:lang w:bidi="ar"/>
              </w:rPr>
            </w:pPr>
          </w:p>
        </w:tc>
      </w:tr>
      <w:tr w14:paraId="2F5CB37E">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59A47672">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1</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77E4DA98">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核心一级资本净额</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4AD58A14">
            <w:pPr>
              <w:widowControl/>
              <w:jc w:val="left"/>
              <w:textAlignment w:val="center"/>
              <w:rPr>
                <w:rFonts w:hint="default"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1131114.74</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61D4CC47">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1155026.74</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2280037A">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1099810.71</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2650039C">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1105637.52</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77319533">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宋体" w:cs="Times New Roman"/>
                <w:color w:val="000000"/>
                <w:sz w:val="20"/>
                <w:szCs w:val="20"/>
                <w:lang w:val="en-US" w:eastAsia="zh-CN"/>
              </w:rPr>
              <w:t>1077497.31</w:t>
            </w:r>
          </w:p>
        </w:tc>
      </w:tr>
      <w:tr w14:paraId="1AEBD3A9">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6FCF3D1E">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2</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451A51A9">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一级资本净额</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51000D95">
            <w:pPr>
              <w:widowControl/>
              <w:jc w:val="left"/>
              <w:textAlignment w:val="center"/>
              <w:rPr>
                <w:rFonts w:hint="default"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1131218.46</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3525D2AA">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1155179.40</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3347ACBE">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1099959.44</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362C4A5C">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1105793.84</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007E3AC9">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宋体" w:cs="Times New Roman"/>
                <w:color w:val="000000"/>
                <w:sz w:val="20"/>
                <w:szCs w:val="20"/>
                <w:lang w:val="en-US" w:eastAsia="zh-CN"/>
              </w:rPr>
              <w:t>1077717.41</w:t>
            </w:r>
          </w:p>
        </w:tc>
      </w:tr>
      <w:tr w14:paraId="308CD04E">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49CAA83A">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3</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750BC95B">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资本净额</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5C8616CE">
            <w:pPr>
              <w:widowControl/>
              <w:jc w:val="left"/>
              <w:textAlignment w:val="center"/>
              <w:rPr>
                <w:rFonts w:hint="default"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1249803.78</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27FB496A">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1270769.42</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2567B9D5">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1213172.74</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229AF541">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1215982.60</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71ACFD0B">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宋体" w:cs="Times New Roman"/>
                <w:color w:val="000000"/>
                <w:sz w:val="20"/>
                <w:szCs w:val="20"/>
                <w:lang w:val="en-US" w:eastAsia="zh-CN"/>
              </w:rPr>
              <w:t>1186333.00</w:t>
            </w:r>
          </w:p>
        </w:tc>
      </w:tr>
      <w:tr w14:paraId="206B14BC">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shd w:val="clear" w:color="auto" w:fill="D9D9D9"/>
            <w:noWrap w:val="0"/>
            <w:vAlign w:val="top"/>
          </w:tcPr>
          <w:p w14:paraId="7848643D">
            <w:pPr>
              <w:rPr>
                <w:rFonts w:hint="eastAsia" w:ascii="Times New Roman" w:hAnsi="Times New Roman" w:eastAsia="仿宋_GB2312" w:cs="仿宋_GB2312"/>
                <w:b/>
                <w:bCs/>
                <w:color w:val="000000"/>
                <w:sz w:val="21"/>
                <w:szCs w:val="21"/>
              </w:rPr>
            </w:pPr>
          </w:p>
        </w:tc>
        <w:tc>
          <w:tcPr>
            <w:tcW w:w="1911"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CC81014">
            <w:pPr>
              <w:widowControl/>
              <w:jc w:val="left"/>
              <w:textAlignment w:val="top"/>
              <w:rPr>
                <w:rFonts w:hint="eastAsia" w:ascii="Times New Roman" w:hAnsi="Times New Roman" w:eastAsia="仿宋_GB2312" w:cs="仿宋_GB2312"/>
                <w:b/>
                <w:bCs/>
                <w:color w:val="000000"/>
                <w:sz w:val="21"/>
                <w:szCs w:val="21"/>
              </w:rPr>
            </w:pPr>
            <w:r>
              <w:rPr>
                <w:rFonts w:hint="eastAsia" w:ascii="Times New Roman" w:hAnsi="Times New Roman" w:eastAsia="仿宋_GB2312" w:cs="仿宋_GB2312"/>
                <w:b/>
                <w:bCs/>
                <w:color w:val="000000"/>
                <w:kern w:val="0"/>
                <w:sz w:val="21"/>
                <w:szCs w:val="21"/>
                <w:lang w:bidi="ar"/>
              </w:rPr>
              <w:t>风险加权资产（数额）</w:t>
            </w:r>
          </w:p>
        </w:tc>
        <w:tc>
          <w:tcPr>
            <w:tcW w:w="71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0B36FB3">
            <w:pPr>
              <w:widowControl/>
              <w:jc w:val="left"/>
              <w:textAlignment w:val="top"/>
              <w:rPr>
                <w:rFonts w:hint="eastAsia" w:ascii="Times New Roman" w:hAnsi="Times New Roman" w:eastAsia="仿宋_GB2312" w:cs="仿宋_GB2312"/>
                <w:b/>
                <w:bCs/>
                <w:color w:val="000000"/>
                <w:kern w:val="0"/>
                <w:sz w:val="21"/>
                <w:szCs w:val="21"/>
                <w:lang w:bidi="ar"/>
              </w:rPr>
            </w:pPr>
          </w:p>
        </w:tc>
        <w:tc>
          <w:tcPr>
            <w:tcW w:w="71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D01C486">
            <w:pPr>
              <w:widowControl/>
              <w:jc w:val="left"/>
              <w:textAlignment w:val="top"/>
              <w:rPr>
                <w:rFonts w:hint="eastAsia" w:ascii="Times New Roman" w:hAnsi="Times New Roman" w:eastAsia="仿宋_GB2312" w:cs="仿宋_GB2312"/>
                <w:b/>
                <w:bCs/>
                <w:color w:val="000000"/>
                <w:kern w:val="0"/>
                <w:sz w:val="21"/>
                <w:szCs w:val="21"/>
                <w:lang w:bidi="ar"/>
              </w:rPr>
            </w:pPr>
          </w:p>
        </w:tc>
        <w:tc>
          <w:tcPr>
            <w:tcW w:w="722"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DEAB532">
            <w:pPr>
              <w:widowControl/>
              <w:jc w:val="left"/>
              <w:textAlignment w:val="top"/>
              <w:rPr>
                <w:rFonts w:hint="eastAsia" w:ascii="Times New Roman" w:hAnsi="Times New Roman" w:eastAsia="仿宋_GB2312" w:cs="仿宋_GB2312"/>
                <w:b/>
                <w:bCs/>
                <w:color w:val="000000"/>
                <w:kern w:val="0"/>
                <w:sz w:val="21"/>
                <w:szCs w:val="21"/>
                <w:lang w:bidi="ar"/>
              </w:rPr>
            </w:pPr>
          </w:p>
        </w:tc>
        <w:tc>
          <w:tcPr>
            <w:tcW w:w="686"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6C99637">
            <w:pPr>
              <w:widowControl/>
              <w:jc w:val="left"/>
              <w:textAlignment w:val="top"/>
              <w:rPr>
                <w:rFonts w:hint="eastAsia" w:ascii="Times New Roman" w:hAnsi="Times New Roman" w:eastAsia="仿宋_GB2312" w:cs="仿宋_GB2312"/>
                <w:b/>
                <w:bCs/>
                <w:color w:val="000000"/>
                <w:kern w:val="0"/>
                <w:sz w:val="21"/>
                <w:szCs w:val="21"/>
                <w:lang w:bidi="ar"/>
              </w:rPr>
            </w:pPr>
          </w:p>
        </w:tc>
      </w:tr>
      <w:tr w14:paraId="69E2A96F">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301FD82F">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4</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2832AEC2">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风险加权资产</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6175616B">
            <w:pPr>
              <w:widowControl/>
              <w:jc w:val="left"/>
              <w:textAlignment w:val="center"/>
              <w:rPr>
                <w:rFonts w:hint="default" w:ascii="Times New Roman" w:hAnsi="Times New Roman" w:eastAsia="仿宋_GB2312" w:cs="仿宋_GB2312"/>
                <w:color w:val="000000"/>
                <w:sz w:val="21"/>
                <w:szCs w:val="21"/>
                <w:lang w:val="en-US"/>
              </w:rPr>
            </w:pPr>
            <w:r>
              <w:rPr>
                <w:rFonts w:hint="eastAsia" w:ascii="Times New Roman" w:hAnsi="Times New Roman" w:eastAsia="仿宋_GB2312" w:cs="仿宋_GB2312"/>
                <w:color w:val="000000"/>
                <w:kern w:val="0"/>
                <w:sz w:val="21"/>
                <w:szCs w:val="21"/>
                <w:lang w:val="en-US" w:eastAsia="zh-CN" w:bidi="ar"/>
              </w:rPr>
              <w:t>10085134.21</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099A974F">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val="en-US" w:eastAsia="zh-CN" w:bidi="ar"/>
              </w:rPr>
              <w:t>9826987.21</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3CF09D69">
            <w:pPr>
              <w:widowControl/>
              <w:jc w:val="left"/>
              <w:textAlignment w:val="center"/>
              <w:rPr>
                <w:rFonts w:hint="eastAsia" w:ascii="Times New Roman" w:hAnsi="Times New Roman" w:eastAsia="仿宋_GB2312" w:cs="仿宋_GB2312"/>
                <w:snapToGrid w:val="0"/>
                <w:color w:val="000000"/>
                <w:kern w:val="0"/>
                <w:sz w:val="21"/>
                <w:szCs w:val="21"/>
                <w:lang w:val="en-US" w:eastAsia="zh-CN" w:bidi="ar-SA"/>
              </w:rPr>
            </w:pPr>
            <w:r>
              <w:rPr>
                <w:rFonts w:hint="eastAsia" w:ascii="Times New Roman" w:hAnsi="Times New Roman" w:eastAsia="仿宋_GB2312" w:cs="仿宋_GB2312"/>
                <w:color w:val="000000"/>
                <w:kern w:val="0"/>
                <w:sz w:val="21"/>
                <w:szCs w:val="21"/>
                <w:lang w:val="en-US" w:eastAsia="zh-CN" w:bidi="ar"/>
              </w:rPr>
              <w:t>9639407.13</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48C0C46A">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val="en-US" w:eastAsia="zh-CN" w:bidi="ar"/>
              </w:rPr>
              <w:t>9373856.99</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338CD6F6">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宋体" w:cs="Times New Roman"/>
                <w:color w:val="000000"/>
                <w:kern w:val="0"/>
                <w:sz w:val="20"/>
                <w:szCs w:val="20"/>
                <w:lang w:val="en-US" w:eastAsia="zh-CN" w:bidi="ar"/>
              </w:rPr>
              <w:t>9364059.58</w:t>
            </w:r>
          </w:p>
        </w:tc>
      </w:tr>
      <w:tr w14:paraId="0D757321">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930B55B">
            <w:pPr>
              <w:rPr>
                <w:rFonts w:hint="eastAsia" w:ascii="Times New Roman" w:hAnsi="Times New Roman" w:eastAsia="仿宋_GB2312" w:cs="仿宋_GB2312"/>
                <w:b/>
                <w:bCs/>
                <w:color w:val="000000"/>
                <w:sz w:val="21"/>
                <w:szCs w:val="21"/>
              </w:rPr>
            </w:pPr>
          </w:p>
        </w:tc>
        <w:tc>
          <w:tcPr>
            <w:tcW w:w="1911"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D55D218">
            <w:pPr>
              <w:widowControl/>
              <w:jc w:val="left"/>
              <w:textAlignment w:val="top"/>
              <w:rPr>
                <w:rFonts w:hint="eastAsia" w:ascii="Times New Roman" w:hAnsi="Times New Roman" w:eastAsia="仿宋_GB2312" w:cs="仿宋_GB2312"/>
                <w:b/>
                <w:bCs/>
                <w:color w:val="000000"/>
                <w:sz w:val="21"/>
                <w:szCs w:val="21"/>
              </w:rPr>
            </w:pPr>
            <w:r>
              <w:rPr>
                <w:rFonts w:hint="eastAsia" w:ascii="Times New Roman" w:hAnsi="Times New Roman" w:eastAsia="仿宋_GB2312" w:cs="仿宋_GB2312"/>
                <w:b/>
                <w:bCs/>
                <w:color w:val="000000"/>
                <w:kern w:val="0"/>
                <w:sz w:val="21"/>
                <w:szCs w:val="21"/>
                <w:lang w:bidi="ar"/>
              </w:rPr>
              <w:t>资本充足率</w:t>
            </w:r>
          </w:p>
        </w:tc>
        <w:tc>
          <w:tcPr>
            <w:tcW w:w="71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F3935E3">
            <w:pPr>
              <w:widowControl/>
              <w:jc w:val="left"/>
              <w:textAlignment w:val="top"/>
              <w:rPr>
                <w:rFonts w:hint="eastAsia" w:ascii="Times New Roman" w:hAnsi="Times New Roman" w:eastAsia="仿宋_GB2312" w:cs="仿宋_GB2312"/>
                <w:b/>
                <w:bCs/>
                <w:color w:val="000000"/>
                <w:kern w:val="0"/>
                <w:sz w:val="21"/>
                <w:szCs w:val="21"/>
                <w:lang w:bidi="ar"/>
              </w:rPr>
            </w:pPr>
          </w:p>
        </w:tc>
        <w:tc>
          <w:tcPr>
            <w:tcW w:w="71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4940C34">
            <w:pPr>
              <w:widowControl/>
              <w:jc w:val="left"/>
              <w:textAlignment w:val="top"/>
              <w:rPr>
                <w:rFonts w:hint="eastAsia" w:ascii="Times New Roman" w:hAnsi="Times New Roman" w:eastAsia="仿宋_GB2312" w:cs="仿宋_GB2312"/>
                <w:b/>
                <w:bCs/>
                <w:color w:val="000000"/>
                <w:kern w:val="0"/>
                <w:sz w:val="21"/>
                <w:szCs w:val="21"/>
                <w:lang w:bidi="ar"/>
              </w:rPr>
            </w:pPr>
          </w:p>
        </w:tc>
        <w:tc>
          <w:tcPr>
            <w:tcW w:w="722"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66BF647">
            <w:pPr>
              <w:widowControl/>
              <w:jc w:val="left"/>
              <w:textAlignment w:val="top"/>
              <w:rPr>
                <w:rFonts w:hint="eastAsia" w:ascii="Times New Roman" w:hAnsi="Times New Roman" w:eastAsia="仿宋_GB2312" w:cs="仿宋_GB2312"/>
                <w:b/>
                <w:bCs/>
                <w:color w:val="000000"/>
                <w:kern w:val="0"/>
                <w:sz w:val="21"/>
                <w:szCs w:val="21"/>
                <w:lang w:bidi="ar"/>
              </w:rPr>
            </w:pPr>
          </w:p>
        </w:tc>
        <w:tc>
          <w:tcPr>
            <w:tcW w:w="686"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BF94800">
            <w:pPr>
              <w:widowControl/>
              <w:jc w:val="left"/>
              <w:textAlignment w:val="top"/>
              <w:rPr>
                <w:rFonts w:hint="eastAsia" w:ascii="Times New Roman" w:hAnsi="Times New Roman" w:eastAsia="仿宋_GB2312" w:cs="仿宋_GB2312"/>
                <w:b/>
                <w:bCs/>
                <w:color w:val="000000"/>
                <w:kern w:val="0"/>
                <w:sz w:val="21"/>
                <w:szCs w:val="21"/>
                <w:lang w:bidi="ar"/>
              </w:rPr>
            </w:pPr>
          </w:p>
        </w:tc>
      </w:tr>
      <w:tr w14:paraId="7017BC67">
        <w:tblPrEx>
          <w:tblCellMar>
            <w:top w:w="0" w:type="dxa"/>
            <w:left w:w="108" w:type="dxa"/>
            <w:bottom w:w="0" w:type="dxa"/>
            <w:right w:w="108" w:type="dxa"/>
          </w:tblCellMar>
        </w:tblPrEx>
        <w:trPr>
          <w:trHeight w:val="602"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233047DA">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5</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0C207216">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核心一级资本充足率（%）</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528CB8ED">
            <w:pPr>
              <w:widowControl/>
              <w:jc w:val="left"/>
              <w:textAlignment w:val="center"/>
              <w:rPr>
                <w:rFonts w:hint="default"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val="en-US" w:eastAsia="zh-CN" w:bidi="ar"/>
              </w:rPr>
              <w:t>11.22</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25E7BE20">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val="en-US" w:eastAsia="zh-CN" w:bidi="ar"/>
              </w:rPr>
              <w:t>11.75</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5950DF30">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val="en-US" w:eastAsia="zh-CN" w:bidi="ar"/>
              </w:rPr>
              <w:t>11.41</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301DFF6A">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val="en-US" w:eastAsia="zh-CN" w:bidi="ar"/>
              </w:rPr>
              <w:t>11.79</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6B382F43">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宋体" w:cs="Times New Roman"/>
                <w:color w:val="000000"/>
                <w:kern w:val="0"/>
                <w:sz w:val="20"/>
                <w:szCs w:val="20"/>
                <w:lang w:val="en-US" w:eastAsia="zh-CN" w:bidi="ar"/>
              </w:rPr>
              <w:t>11.51</w:t>
            </w:r>
          </w:p>
        </w:tc>
      </w:tr>
      <w:tr w14:paraId="4C859C0C">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0199C682">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6</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4355A26D">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一级资本充足率（%）</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6A8A760F">
            <w:pPr>
              <w:widowControl/>
              <w:jc w:val="left"/>
              <w:textAlignment w:val="center"/>
              <w:rPr>
                <w:rFonts w:hint="default"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kern w:val="0"/>
                <w:sz w:val="21"/>
                <w:szCs w:val="21"/>
                <w:lang w:val="en-US" w:eastAsia="zh-CN" w:bidi="ar"/>
              </w:rPr>
              <w:t>11.22</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08ECA98F">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val="en-US" w:eastAsia="zh-CN" w:bidi="ar"/>
              </w:rPr>
              <w:t>11.76</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148A5E15">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kern w:val="0"/>
                <w:sz w:val="21"/>
                <w:szCs w:val="21"/>
                <w:lang w:val="en-US" w:eastAsia="zh-CN" w:bidi="ar"/>
              </w:rPr>
              <w:t>11.41</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7511C7AC">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val="en-US" w:eastAsia="zh-CN" w:bidi="ar"/>
              </w:rPr>
              <w:t>11.80</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33BC0DE4">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宋体" w:cs="Times New Roman"/>
                <w:color w:val="000000"/>
                <w:kern w:val="0"/>
                <w:sz w:val="20"/>
                <w:szCs w:val="20"/>
                <w:lang w:val="en-US" w:eastAsia="zh-CN" w:bidi="ar"/>
              </w:rPr>
              <w:t>11.51</w:t>
            </w:r>
          </w:p>
        </w:tc>
      </w:tr>
      <w:tr w14:paraId="3D8E8DF8">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3F11E786">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7</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60FA9B4E">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资本充足率（%）</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78653D7B">
            <w:pPr>
              <w:widowControl/>
              <w:jc w:val="left"/>
              <w:textAlignment w:val="center"/>
              <w:rPr>
                <w:rFonts w:hint="default"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12.39</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291A4815">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12.93</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5759CCBF">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12.59</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11DE403E">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12.97</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246736C3">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宋体" w:cs="Times New Roman"/>
                <w:color w:val="000000"/>
                <w:sz w:val="20"/>
                <w:szCs w:val="20"/>
                <w:lang w:val="en-US" w:eastAsia="zh-CN"/>
              </w:rPr>
              <w:t>12.67</w:t>
            </w:r>
          </w:p>
        </w:tc>
      </w:tr>
      <w:tr w14:paraId="42032134">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7B9A775">
            <w:pPr>
              <w:rPr>
                <w:rFonts w:hint="eastAsia" w:ascii="Times New Roman" w:hAnsi="Times New Roman" w:eastAsia="仿宋_GB2312" w:cs="仿宋_GB2312"/>
                <w:b/>
                <w:bCs/>
                <w:color w:val="000000"/>
                <w:sz w:val="21"/>
                <w:szCs w:val="21"/>
              </w:rPr>
            </w:pPr>
          </w:p>
        </w:tc>
        <w:tc>
          <w:tcPr>
            <w:tcW w:w="1911"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E556D2D">
            <w:pPr>
              <w:widowControl/>
              <w:jc w:val="left"/>
              <w:textAlignment w:val="top"/>
              <w:rPr>
                <w:rFonts w:hint="eastAsia" w:ascii="Times New Roman" w:hAnsi="Times New Roman" w:eastAsia="仿宋_GB2312" w:cs="仿宋_GB2312"/>
                <w:b/>
                <w:bCs/>
                <w:color w:val="000000"/>
                <w:sz w:val="21"/>
                <w:szCs w:val="21"/>
              </w:rPr>
            </w:pPr>
            <w:r>
              <w:rPr>
                <w:rFonts w:hint="eastAsia" w:ascii="Times New Roman" w:hAnsi="Times New Roman" w:eastAsia="仿宋_GB2312" w:cs="仿宋_GB2312"/>
                <w:b/>
                <w:bCs/>
                <w:color w:val="000000"/>
                <w:kern w:val="0"/>
                <w:sz w:val="21"/>
                <w:szCs w:val="21"/>
                <w:lang w:bidi="ar"/>
              </w:rPr>
              <w:t>其他各级资本要求</w:t>
            </w:r>
          </w:p>
        </w:tc>
        <w:tc>
          <w:tcPr>
            <w:tcW w:w="71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295ED95">
            <w:pPr>
              <w:widowControl/>
              <w:jc w:val="left"/>
              <w:textAlignment w:val="top"/>
              <w:rPr>
                <w:rFonts w:hint="eastAsia" w:ascii="Times New Roman" w:hAnsi="Times New Roman" w:eastAsia="仿宋_GB2312" w:cs="仿宋_GB2312"/>
                <w:b/>
                <w:bCs/>
                <w:color w:val="000000"/>
                <w:kern w:val="0"/>
                <w:sz w:val="21"/>
                <w:szCs w:val="21"/>
                <w:lang w:bidi="ar"/>
              </w:rPr>
            </w:pPr>
          </w:p>
        </w:tc>
        <w:tc>
          <w:tcPr>
            <w:tcW w:w="71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57F5044">
            <w:pPr>
              <w:widowControl/>
              <w:jc w:val="left"/>
              <w:textAlignment w:val="top"/>
              <w:rPr>
                <w:rFonts w:hint="eastAsia" w:ascii="Times New Roman" w:hAnsi="Times New Roman" w:eastAsia="仿宋_GB2312" w:cs="仿宋_GB2312"/>
                <w:b/>
                <w:bCs/>
                <w:color w:val="000000"/>
                <w:kern w:val="0"/>
                <w:sz w:val="21"/>
                <w:szCs w:val="21"/>
                <w:lang w:bidi="ar"/>
              </w:rPr>
            </w:pPr>
          </w:p>
        </w:tc>
        <w:tc>
          <w:tcPr>
            <w:tcW w:w="722"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311379B">
            <w:pPr>
              <w:widowControl/>
              <w:jc w:val="left"/>
              <w:textAlignment w:val="top"/>
              <w:rPr>
                <w:rFonts w:hint="eastAsia" w:ascii="Times New Roman" w:hAnsi="Times New Roman" w:eastAsia="仿宋_GB2312" w:cs="仿宋_GB2312"/>
                <w:b/>
                <w:bCs/>
                <w:color w:val="000000"/>
                <w:kern w:val="0"/>
                <w:sz w:val="21"/>
                <w:szCs w:val="21"/>
                <w:lang w:bidi="ar"/>
              </w:rPr>
            </w:pPr>
          </w:p>
        </w:tc>
        <w:tc>
          <w:tcPr>
            <w:tcW w:w="686"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D6037A4">
            <w:pPr>
              <w:widowControl/>
              <w:jc w:val="left"/>
              <w:textAlignment w:val="top"/>
              <w:rPr>
                <w:rFonts w:hint="eastAsia" w:ascii="Times New Roman" w:hAnsi="Times New Roman" w:eastAsia="仿宋_GB2312" w:cs="仿宋_GB2312"/>
                <w:b/>
                <w:bCs/>
                <w:color w:val="000000"/>
                <w:kern w:val="0"/>
                <w:sz w:val="21"/>
                <w:szCs w:val="21"/>
                <w:lang w:bidi="ar"/>
              </w:rPr>
            </w:pPr>
          </w:p>
        </w:tc>
      </w:tr>
      <w:tr w14:paraId="0D38A1CF">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3843751C">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8</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59AB8DF6">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储备资本要求（%）</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5FD7DE74">
            <w:pPr>
              <w:widowControl/>
              <w:jc w:val="left"/>
              <w:textAlignment w:val="center"/>
              <w:rPr>
                <w:rFonts w:hint="eastAsia"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2.5</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1E9EBF92">
            <w:pPr>
              <w:widowControl/>
              <w:jc w:val="left"/>
              <w:textAlignment w:val="center"/>
              <w:rPr>
                <w:rFonts w:hint="default"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2.5</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756E3124">
            <w:pPr>
              <w:widowControl/>
              <w:jc w:val="left"/>
              <w:textAlignment w:val="center"/>
              <w:rPr>
                <w:rFonts w:hint="eastAsia"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2.5</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5EC318CA">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2.5</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40FE5824">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2.5</w:t>
            </w:r>
          </w:p>
        </w:tc>
      </w:tr>
      <w:tr w14:paraId="30A1E19E">
        <w:tblPrEx>
          <w:tblCellMar>
            <w:top w:w="0" w:type="dxa"/>
            <w:left w:w="108" w:type="dxa"/>
            <w:bottom w:w="0" w:type="dxa"/>
            <w:right w:w="108" w:type="dxa"/>
          </w:tblCellMar>
        </w:tblPrEx>
        <w:trPr>
          <w:trHeight w:val="551"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0F95DF1F">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9</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361D25B4">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逆周期资本要求（%）</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33E8FC36">
            <w:pPr>
              <w:widowControl/>
              <w:jc w:val="left"/>
              <w:textAlignment w:val="center"/>
              <w:rPr>
                <w:rFonts w:hint="eastAsia"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0</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338A3919">
            <w:pPr>
              <w:widowControl/>
              <w:jc w:val="left"/>
              <w:textAlignment w:val="center"/>
              <w:rPr>
                <w:rFonts w:hint="default"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0</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44AFC2AD">
            <w:pPr>
              <w:widowControl/>
              <w:jc w:val="left"/>
              <w:textAlignment w:val="center"/>
              <w:rPr>
                <w:rFonts w:hint="eastAsia"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0</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0B56E1FF">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0</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50CEA5B8">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0</w:t>
            </w:r>
          </w:p>
        </w:tc>
      </w:tr>
      <w:tr w14:paraId="58A2D5E3">
        <w:tblPrEx>
          <w:tblCellMar>
            <w:top w:w="0" w:type="dxa"/>
            <w:left w:w="108" w:type="dxa"/>
            <w:bottom w:w="0" w:type="dxa"/>
            <w:right w:w="108" w:type="dxa"/>
          </w:tblCellMar>
        </w:tblPrEx>
        <w:trPr>
          <w:trHeight w:val="1080" w:hRule="exact"/>
        </w:trPr>
        <w:tc>
          <w:tcPr>
            <w:tcW w:w="25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DD2F1">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10</w:t>
            </w:r>
          </w:p>
        </w:tc>
        <w:tc>
          <w:tcPr>
            <w:tcW w:w="119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EE4AA">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全球系统重要性银行或国内系统重要性银行附加资本要求（%）</w:t>
            </w:r>
          </w:p>
        </w:tc>
        <w:tc>
          <w:tcPr>
            <w:tcW w:w="717" w:type="pct"/>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6C2E65BE">
            <w:pPr>
              <w:jc w:val="left"/>
              <w:rPr>
                <w:rFonts w:hint="eastAsia" w:ascii="Times New Roman" w:hAnsi="Times New Roman" w:eastAsia="仿宋_GB2312" w:cs="仿宋_GB2312"/>
                <w:color w:val="auto"/>
                <w:sz w:val="21"/>
                <w:szCs w:val="21"/>
              </w:rPr>
            </w:pPr>
          </w:p>
        </w:tc>
        <w:tc>
          <w:tcPr>
            <w:tcW w:w="711" w:type="pct"/>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070493FB">
            <w:pPr>
              <w:jc w:val="left"/>
              <w:rPr>
                <w:rFonts w:hint="eastAsia" w:ascii="Times New Roman" w:hAnsi="Times New Roman" w:eastAsia="仿宋_GB2312" w:cs="仿宋_GB2312"/>
                <w:color w:val="auto"/>
                <w:sz w:val="21"/>
                <w:szCs w:val="21"/>
              </w:rPr>
            </w:pPr>
          </w:p>
        </w:tc>
        <w:tc>
          <w:tcPr>
            <w:tcW w:w="711" w:type="pct"/>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0E026226">
            <w:pPr>
              <w:jc w:val="left"/>
              <w:rPr>
                <w:rFonts w:hint="eastAsia" w:ascii="Times New Roman" w:hAnsi="Times New Roman" w:eastAsia="仿宋_GB2312" w:cs="仿宋_GB2312"/>
                <w:color w:val="auto"/>
                <w:sz w:val="21"/>
                <w:szCs w:val="21"/>
              </w:rPr>
            </w:pPr>
          </w:p>
        </w:tc>
        <w:tc>
          <w:tcPr>
            <w:tcW w:w="722" w:type="pct"/>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0E03909E">
            <w:pPr>
              <w:jc w:val="left"/>
              <w:rPr>
                <w:rFonts w:hint="eastAsia" w:ascii="Times New Roman" w:hAnsi="Times New Roman" w:eastAsia="仿宋_GB2312" w:cs="仿宋_GB2312"/>
                <w:color w:val="auto"/>
                <w:sz w:val="21"/>
                <w:szCs w:val="21"/>
              </w:rPr>
            </w:pPr>
          </w:p>
        </w:tc>
        <w:tc>
          <w:tcPr>
            <w:tcW w:w="686" w:type="pct"/>
            <w:tcBorders>
              <w:top w:val="single" w:color="000000" w:sz="4" w:space="0"/>
              <w:left w:val="single" w:color="000000" w:sz="4" w:space="0"/>
              <w:bottom w:val="single" w:color="000000" w:sz="4" w:space="0"/>
              <w:right w:val="single" w:color="000000" w:sz="4" w:space="0"/>
            </w:tcBorders>
            <w:shd w:val="clear" w:color="auto" w:fill="BEBEBE"/>
            <w:noWrap w:val="0"/>
            <w:vAlign w:val="center"/>
          </w:tcPr>
          <w:p w14:paraId="0A31581A">
            <w:pPr>
              <w:jc w:val="left"/>
              <w:rPr>
                <w:rFonts w:hint="eastAsia" w:ascii="Times New Roman" w:hAnsi="Times New Roman" w:eastAsia="仿宋_GB2312" w:cs="仿宋_GB2312"/>
                <w:color w:val="auto"/>
                <w:sz w:val="21"/>
                <w:szCs w:val="21"/>
              </w:rPr>
            </w:pPr>
          </w:p>
        </w:tc>
      </w:tr>
      <w:tr w14:paraId="7426256B">
        <w:tblPrEx>
          <w:tblCellMar>
            <w:top w:w="0" w:type="dxa"/>
            <w:left w:w="108" w:type="dxa"/>
            <w:bottom w:w="0" w:type="dxa"/>
            <w:right w:w="108" w:type="dxa"/>
          </w:tblCellMar>
        </w:tblPrEx>
        <w:trPr>
          <w:trHeight w:val="694"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67DCF780">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11</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26F8FB3E">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其他各级资本要求（%）（8+9+10）</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5611E317">
            <w:pPr>
              <w:widowControl/>
              <w:jc w:val="left"/>
              <w:textAlignment w:val="center"/>
              <w:rPr>
                <w:rFonts w:hint="eastAsia"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2.5</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1153E674">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2.5</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1D5F7482">
            <w:pPr>
              <w:widowControl/>
              <w:jc w:val="left"/>
              <w:textAlignment w:val="center"/>
              <w:rPr>
                <w:rFonts w:hint="eastAsia"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2.5</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55A98F82">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2.5</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3441CF49">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2.5</w:t>
            </w:r>
          </w:p>
        </w:tc>
      </w:tr>
      <w:tr w14:paraId="127B2821">
        <w:tblPrEx>
          <w:tblCellMar>
            <w:top w:w="0" w:type="dxa"/>
            <w:left w:w="108" w:type="dxa"/>
            <w:bottom w:w="0" w:type="dxa"/>
            <w:right w:w="108" w:type="dxa"/>
          </w:tblCellMar>
        </w:tblPrEx>
        <w:trPr>
          <w:trHeight w:val="1691"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24744269">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12</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6D0C60E3">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满足最低资本要求后的可用核心一级资本净额占风险加权资产的比例（%）</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3EB61BA9">
            <w:pPr>
              <w:widowControl/>
              <w:jc w:val="left"/>
              <w:textAlignment w:val="center"/>
              <w:rPr>
                <w:rFonts w:hint="default"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4.39</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56DAF313">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4.93</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570A1B5D">
            <w:pPr>
              <w:widowControl/>
              <w:jc w:val="left"/>
              <w:textAlignment w:val="center"/>
              <w:rPr>
                <w:rFonts w:hint="eastAsia" w:ascii="Times New Roman" w:hAnsi="Times New Roman" w:eastAsia="仿宋_GB2312" w:cs="仿宋_GB2312"/>
                <w:color w:val="auto"/>
                <w:sz w:val="21"/>
                <w:szCs w:val="21"/>
                <w:lang w:val="en-US" w:eastAsia="zh-CN"/>
              </w:rPr>
            </w:pPr>
            <w:r>
              <w:rPr>
                <w:rFonts w:hint="eastAsia" w:ascii="Times New Roman" w:hAnsi="Times New Roman" w:eastAsia="仿宋_GB2312" w:cs="仿宋_GB2312"/>
                <w:color w:val="auto"/>
                <w:sz w:val="21"/>
                <w:szCs w:val="21"/>
                <w:lang w:val="en-US" w:eastAsia="zh-CN"/>
              </w:rPr>
              <w:t>4.59</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3386D4AF">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仿宋_GB2312" w:cs="仿宋_GB2312"/>
                <w:color w:val="auto"/>
                <w:sz w:val="21"/>
                <w:szCs w:val="21"/>
                <w:lang w:val="en-US" w:eastAsia="zh-CN"/>
              </w:rPr>
              <w:t>4.97</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47CE6C35">
            <w:pPr>
              <w:widowControl/>
              <w:jc w:val="left"/>
              <w:textAlignment w:val="center"/>
              <w:rPr>
                <w:rFonts w:hint="eastAsia" w:ascii="Times New Roman" w:hAnsi="Times New Roman" w:eastAsia="仿宋_GB2312" w:cs="仿宋_GB2312"/>
                <w:color w:val="auto"/>
                <w:kern w:val="2"/>
                <w:sz w:val="21"/>
                <w:szCs w:val="21"/>
                <w:lang w:val="en-US" w:eastAsia="zh-CN" w:bidi="ar-SA"/>
              </w:rPr>
            </w:pPr>
            <w:r>
              <w:rPr>
                <w:rFonts w:hint="eastAsia" w:ascii="Times New Roman" w:hAnsi="Times New Roman" w:eastAsia="宋体" w:cs="Times New Roman"/>
                <w:color w:val="auto"/>
                <w:sz w:val="20"/>
                <w:szCs w:val="20"/>
                <w:lang w:val="en-US" w:eastAsia="zh-CN"/>
              </w:rPr>
              <w:t>4.67</w:t>
            </w:r>
          </w:p>
        </w:tc>
      </w:tr>
      <w:tr w14:paraId="5875885A">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3FF3EE8">
            <w:pPr>
              <w:rPr>
                <w:rFonts w:hint="eastAsia" w:ascii="Times New Roman" w:hAnsi="Times New Roman" w:eastAsia="仿宋_GB2312" w:cs="仿宋_GB2312"/>
                <w:b/>
                <w:bCs/>
                <w:color w:val="000000"/>
                <w:sz w:val="21"/>
                <w:szCs w:val="21"/>
              </w:rPr>
            </w:pPr>
          </w:p>
        </w:tc>
        <w:tc>
          <w:tcPr>
            <w:tcW w:w="1911"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C31B1B1">
            <w:pPr>
              <w:widowControl/>
              <w:jc w:val="left"/>
              <w:textAlignment w:val="top"/>
              <w:rPr>
                <w:rFonts w:hint="eastAsia" w:ascii="Times New Roman" w:hAnsi="Times New Roman" w:eastAsia="仿宋_GB2312" w:cs="仿宋_GB2312"/>
                <w:b/>
                <w:bCs/>
                <w:color w:val="000000"/>
                <w:sz w:val="21"/>
                <w:szCs w:val="21"/>
              </w:rPr>
            </w:pPr>
            <w:r>
              <w:rPr>
                <w:rFonts w:hint="eastAsia" w:ascii="Times New Roman" w:hAnsi="Times New Roman" w:eastAsia="仿宋_GB2312" w:cs="仿宋_GB2312"/>
                <w:b/>
                <w:bCs/>
                <w:color w:val="000000"/>
                <w:kern w:val="0"/>
                <w:sz w:val="21"/>
                <w:szCs w:val="21"/>
                <w:lang w:bidi="ar"/>
              </w:rPr>
              <w:t>杠杆率</w:t>
            </w:r>
          </w:p>
        </w:tc>
        <w:tc>
          <w:tcPr>
            <w:tcW w:w="71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C22B826">
            <w:pPr>
              <w:widowControl/>
              <w:jc w:val="left"/>
              <w:textAlignment w:val="top"/>
              <w:rPr>
                <w:rFonts w:hint="eastAsia" w:ascii="Times New Roman" w:hAnsi="Times New Roman" w:eastAsia="仿宋_GB2312" w:cs="仿宋_GB2312"/>
                <w:b/>
                <w:bCs/>
                <w:color w:val="000000"/>
                <w:kern w:val="0"/>
                <w:sz w:val="21"/>
                <w:szCs w:val="21"/>
                <w:lang w:bidi="ar"/>
              </w:rPr>
            </w:pPr>
          </w:p>
        </w:tc>
        <w:tc>
          <w:tcPr>
            <w:tcW w:w="71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F806969">
            <w:pPr>
              <w:widowControl/>
              <w:jc w:val="left"/>
              <w:textAlignment w:val="top"/>
              <w:rPr>
                <w:rFonts w:hint="eastAsia" w:ascii="Times New Roman" w:hAnsi="Times New Roman" w:eastAsia="仿宋_GB2312" w:cs="仿宋_GB2312"/>
                <w:b/>
                <w:bCs/>
                <w:color w:val="000000"/>
                <w:kern w:val="0"/>
                <w:sz w:val="21"/>
                <w:szCs w:val="21"/>
                <w:lang w:bidi="ar"/>
              </w:rPr>
            </w:pPr>
          </w:p>
        </w:tc>
        <w:tc>
          <w:tcPr>
            <w:tcW w:w="722"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F2D4711">
            <w:pPr>
              <w:widowControl/>
              <w:jc w:val="left"/>
              <w:textAlignment w:val="top"/>
              <w:rPr>
                <w:rFonts w:hint="eastAsia" w:ascii="Times New Roman" w:hAnsi="Times New Roman" w:eastAsia="仿宋_GB2312" w:cs="仿宋_GB2312"/>
                <w:b/>
                <w:bCs/>
                <w:color w:val="000000"/>
                <w:kern w:val="0"/>
                <w:sz w:val="21"/>
                <w:szCs w:val="21"/>
                <w:lang w:bidi="ar"/>
              </w:rPr>
            </w:pPr>
          </w:p>
        </w:tc>
        <w:tc>
          <w:tcPr>
            <w:tcW w:w="686"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F777018">
            <w:pPr>
              <w:widowControl/>
              <w:jc w:val="left"/>
              <w:textAlignment w:val="top"/>
              <w:rPr>
                <w:rFonts w:hint="eastAsia" w:ascii="Times New Roman" w:hAnsi="Times New Roman" w:eastAsia="仿宋_GB2312" w:cs="仿宋_GB2312"/>
                <w:b/>
                <w:bCs/>
                <w:color w:val="000000"/>
                <w:kern w:val="0"/>
                <w:sz w:val="21"/>
                <w:szCs w:val="21"/>
                <w:lang w:bidi="ar"/>
              </w:rPr>
            </w:pPr>
          </w:p>
        </w:tc>
      </w:tr>
      <w:tr w14:paraId="3F1121A6">
        <w:tblPrEx>
          <w:tblCellMar>
            <w:top w:w="0" w:type="dxa"/>
            <w:left w:w="108" w:type="dxa"/>
            <w:bottom w:w="0" w:type="dxa"/>
            <w:right w:w="108" w:type="dxa"/>
          </w:tblCellMar>
        </w:tblPrEx>
        <w:trPr>
          <w:trHeight w:val="570"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0E3BB5D9">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13</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4E286AEC">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调整后表内外资产余额</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19FE4CF5">
            <w:pPr>
              <w:widowControl/>
              <w:jc w:val="left"/>
              <w:textAlignment w:val="center"/>
              <w:rPr>
                <w:rFonts w:hint="default"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15691490.61</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5C802DB8">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14724834.22</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6238E03D">
            <w:pPr>
              <w:widowControl/>
              <w:jc w:val="left"/>
              <w:textAlignment w:val="center"/>
              <w:rPr>
                <w:rFonts w:hint="eastAsia" w:ascii="Times New Roman" w:hAnsi="Times New Roman" w:eastAsia="仿宋_GB2312" w:cs="仿宋_GB2312"/>
                <w:snapToGrid w:val="0"/>
                <w:color w:val="000000"/>
                <w:kern w:val="0"/>
                <w:sz w:val="21"/>
                <w:szCs w:val="21"/>
                <w:lang w:val="en-US" w:eastAsia="zh-CN" w:bidi="ar-SA"/>
              </w:rPr>
            </w:pPr>
            <w:r>
              <w:rPr>
                <w:rFonts w:hint="eastAsia" w:ascii="Times New Roman" w:hAnsi="Times New Roman" w:eastAsia="仿宋_GB2312" w:cs="仿宋_GB2312"/>
                <w:color w:val="000000"/>
                <w:sz w:val="21"/>
                <w:szCs w:val="21"/>
                <w:lang w:val="en-US" w:eastAsia="zh-CN"/>
              </w:rPr>
              <w:t>14685217.76</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74C892AD">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14168152.28</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798A29FB">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宋体" w:cs="Times New Roman"/>
                <w:color w:val="000000"/>
                <w:sz w:val="20"/>
                <w:szCs w:val="20"/>
                <w:lang w:val="en-US" w:eastAsia="zh-CN"/>
              </w:rPr>
              <w:t>13314505.53</w:t>
            </w:r>
          </w:p>
        </w:tc>
      </w:tr>
      <w:tr w14:paraId="320E43BB">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145D49F9">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14</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0242B2FF">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杠杆率（%）</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72F7BD8E">
            <w:pPr>
              <w:widowControl/>
              <w:jc w:val="left"/>
              <w:textAlignment w:val="center"/>
              <w:rPr>
                <w:rFonts w:hint="default"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7.21</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2CF79344">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7.85</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4C7BCC1F">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7.49</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7360A0BB">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7.80</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04FEDFD4">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宋体" w:cs="Times New Roman"/>
                <w:color w:val="000000"/>
                <w:sz w:val="20"/>
                <w:szCs w:val="20"/>
                <w:lang w:val="en-US" w:eastAsia="zh-CN"/>
              </w:rPr>
              <w:t>8.09</w:t>
            </w:r>
          </w:p>
        </w:tc>
      </w:tr>
      <w:tr w14:paraId="6609A159">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400319AA">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14a</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61E4F2A7">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杠杆率a（%）</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54EDCDA1">
            <w:pPr>
              <w:widowControl/>
              <w:jc w:val="left"/>
              <w:textAlignment w:val="center"/>
              <w:rPr>
                <w:rFonts w:hint="default"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7.21</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45AB733E">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7.85</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613060DA">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7.49</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330DAD07">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7.80</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252C899E">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宋体" w:cs="Times New Roman"/>
                <w:color w:val="000000"/>
                <w:sz w:val="20"/>
                <w:szCs w:val="20"/>
                <w:lang w:val="en-US" w:eastAsia="zh-CN"/>
              </w:rPr>
              <w:t>8.09</w:t>
            </w:r>
          </w:p>
        </w:tc>
      </w:tr>
      <w:tr w14:paraId="1A235FF3">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749DBB49">
            <w:pPr>
              <w:rPr>
                <w:rFonts w:hint="eastAsia" w:ascii="Times New Roman" w:hAnsi="Times New Roman" w:eastAsia="仿宋_GB2312" w:cs="仿宋_GB2312"/>
                <w:b/>
                <w:bCs/>
                <w:color w:val="000000"/>
                <w:sz w:val="21"/>
                <w:szCs w:val="21"/>
              </w:rPr>
            </w:pPr>
          </w:p>
        </w:tc>
        <w:tc>
          <w:tcPr>
            <w:tcW w:w="1911"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14CDE226">
            <w:pPr>
              <w:widowControl/>
              <w:jc w:val="left"/>
              <w:textAlignment w:val="top"/>
              <w:rPr>
                <w:rFonts w:hint="eastAsia" w:ascii="Times New Roman" w:hAnsi="Times New Roman" w:eastAsia="仿宋_GB2312" w:cs="仿宋_GB2312"/>
                <w:b/>
                <w:bCs/>
                <w:color w:val="000000"/>
                <w:sz w:val="21"/>
                <w:szCs w:val="21"/>
              </w:rPr>
            </w:pPr>
            <w:r>
              <w:rPr>
                <w:rFonts w:hint="eastAsia" w:ascii="Times New Roman" w:hAnsi="Times New Roman" w:eastAsia="仿宋_GB2312" w:cs="仿宋_GB2312"/>
                <w:b/>
                <w:bCs/>
                <w:color w:val="000000"/>
                <w:kern w:val="0"/>
                <w:sz w:val="21"/>
                <w:szCs w:val="21"/>
                <w:lang w:bidi="ar"/>
              </w:rPr>
              <w:t>流动性覆盖率</w:t>
            </w:r>
          </w:p>
        </w:tc>
        <w:tc>
          <w:tcPr>
            <w:tcW w:w="71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1B15F7D4">
            <w:pPr>
              <w:widowControl/>
              <w:jc w:val="left"/>
              <w:textAlignment w:val="top"/>
              <w:rPr>
                <w:rFonts w:hint="eastAsia" w:ascii="Times New Roman" w:hAnsi="Times New Roman" w:eastAsia="仿宋_GB2312" w:cs="仿宋_GB2312"/>
                <w:b/>
                <w:bCs/>
                <w:color w:val="000000"/>
                <w:kern w:val="0"/>
                <w:sz w:val="21"/>
                <w:szCs w:val="21"/>
                <w:lang w:bidi="ar"/>
              </w:rPr>
            </w:pPr>
          </w:p>
        </w:tc>
        <w:tc>
          <w:tcPr>
            <w:tcW w:w="71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9B091DC">
            <w:pPr>
              <w:widowControl/>
              <w:jc w:val="left"/>
              <w:textAlignment w:val="top"/>
              <w:rPr>
                <w:rFonts w:hint="eastAsia" w:ascii="Times New Roman" w:hAnsi="Times New Roman" w:eastAsia="仿宋_GB2312" w:cs="仿宋_GB2312"/>
                <w:b/>
                <w:bCs/>
                <w:color w:val="000000"/>
                <w:kern w:val="0"/>
                <w:sz w:val="21"/>
                <w:szCs w:val="21"/>
                <w:lang w:bidi="ar"/>
              </w:rPr>
            </w:pPr>
          </w:p>
        </w:tc>
        <w:tc>
          <w:tcPr>
            <w:tcW w:w="722"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CE2CAD7">
            <w:pPr>
              <w:widowControl/>
              <w:jc w:val="left"/>
              <w:textAlignment w:val="top"/>
              <w:rPr>
                <w:rFonts w:hint="eastAsia" w:ascii="Times New Roman" w:hAnsi="Times New Roman" w:eastAsia="仿宋_GB2312" w:cs="仿宋_GB2312"/>
                <w:b/>
                <w:bCs/>
                <w:color w:val="000000"/>
                <w:kern w:val="0"/>
                <w:sz w:val="21"/>
                <w:szCs w:val="21"/>
                <w:lang w:bidi="ar"/>
              </w:rPr>
            </w:pPr>
          </w:p>
        </w:tc>
        <w:tc>
          <w:tcPr>
            <w:tcW w:w="686"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51C5DEFA">
            <w:pPr>
              <w:widowControl/>
              <w:jc w:val="left"/>
              <w:textAlignment w:val="top"/>
              <w:rPr>
                <w:rFonts w:hint="eastAsia" w:ascii="Times New Roman" w:hAnsi="Times New Roman" w:eastAsia="仿宋_GB2312" w:cs="仿宋_GB2312"/>
                <w:b/>
                <w:bCs/>
                <w:color w:val="000000"/>
                <w:kern w:val="0"/>
                <w:sz w:val="21"/>
                <w:szCs w:val="21"/>
                <w:lang w:bidi="ar"/>
              </w:rPr>
            </w:pPr>
          </w:p>
        </w:tc>
      </w:tr>
      <w:tr w14:paraId="285C2531">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546A64A5">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15</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459C3EBD">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合格优质流动性资产</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5068210F">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不适用</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3D26CBA0">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4CE50B1D">
            <w:pPr>
              <w:widowControl/>
              <w:jc w:val="left"/>
              <w:textAlignment w:val="center"/>
              <w:rPr>
                <w:rFonts w:hint="eastAsia" w:ascii="Times New Roman" w:hAnsi="Times New Roman" w:eastAsia="仿宋_GB2312" w:cs="仿宋_GB2312"/>
                <w:color w:val="000000"/>
                <w:kern w:val="0"/>
                <w:sz w:val="21"/>
                <w:szCs w:val="21"/>
                <w:lang w:bidi="ar"/>
              </w:rPr>
            </w:pPr>
            <w:r>
              <w:rPr>
                <w:rFonts w:hint="eastAsia" w:ascii="Times New Roman" w:hAnsi="Times New Roman" w:eastAsia="仿宋_GB2312" w:cs="仿宋_GB2312"/>
                <w:color w:val="000000"/>
                <w:kern w:val="0"/>
                <w:sz w:val="21"/>
                <w:szCs w:val="21"/>
                <w:lang w:bidi="ar"/>
              </w:rPr>
              <w:t>不适用</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6888F488">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60C5ADF6">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bidi="ar"/>
              </w:rPr>
              <w:t>不适用</w:t>
            </w:r>
          </w:p>
        </w:tc>
      </w:tr>
      <w:tr w14:paraId="49B4926B">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79AC8A38">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16</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7959D172">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现金净流出量</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2639CA9C">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不适用</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492A939F">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6A128F4B">
            <w:pPr>
              <w:widowControl/>
              <w:jc w:val="left"/>
              <w:textAlignment w:val="center"/>
              <w:rPr>
                <w:rFonts w:hint="eastAsia" w:ascii="Times New Roman" w:hAnsi="Times New Roman" w:eastAsia="仿宋_GB2312" w:cs="仿宋_GB2312"/>
                <w:color w:val="000000"/>
                <w:kern w:val="0"/>
                <w:sz w:val="21"/>
                <w:szCs w:val="21"/>
                <w:lang w:bidi="ar"/>
              </w:rPr>
            </w:pPr>
            <w:r>
              <w:rPr>
                <w:rFonts w:hint="eastAsia" w:ascii="Times New Roman" w:hAnsi="Times New Roman" w:eastAsia="仿宋_GB2312" w:cs="仿宋_GB2312"/>
                <w:color w:val="000000"/>
                <w:kern w:val="0"/>
                <w:sz w:val="21"/>
                <w:szCs w:val="21"/>
                <w:lang w:bidi="ar"/>
              </w:rPr>
              <w:t>不适用</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546B2FCC">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009C8ADA">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bidi="ar"/>
              </w:rPr>
              <w:t>不适用</w:t>
            </w:r>
          </w:p>
        </w:tc>
      </w:tr>
      <w:tr w14:paraId="3C9E6E7F">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3AEAB087">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17</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3AA94F96">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流动性覆盖率（%）</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3F98D7B8">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不适用</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0C9F8558">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095636A6">
            <w:pPr>
              <w:widowControl/>
              <w:jc w:val="left"/>
              <w:textAlignment w:val="center"/>
              <w:rPr>
                <w:rFonts w:hint="eastAsia" w:ascii="Times New Roman" w:hAnsi="Times New Roman" w:eastAsia="仿宋_GB2312" w:cs="仿宋_GB2312"/>
                <w:color w:val="000000"/>
                <w:kern w:val="0"/>
                <w:sz w:val="21"/>
                <w:szCs w:val="21"/>
                <w:lang w:bidi="ar"/>
              </w:rPr>
            </w:pPr>
            <w:r>
              <w:rPr>
                <w:rFonts w:hint="eastAsia" w:ascii="Times New Roman" w:hAnsi="Times New Roman" w:eastAsia="仿宋_GB2312" w:cs="仿宋_GB2312"/>
                <w:color w:val="000000"/>
                <w:kern w:val="0"/>
                <w:sz w:val="21"/>
                <w:szCs w:val="21"/>
                <w:lang w:bidi="ar"/>
              </w:rPr>
              <w:t>不适用</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6D5607BB">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409C0A05">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bidi="ar"/>
              </w:rPr>
              <w:t>不适用</w:t>
            </w:r>
          </w:p>
        </w:tc>
      </w:tr>
      <w:tr w14:paraId="457B6150">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8B6DA2B">
            <w:pPr>
              <w:rPr>
                <w:rFonts w:hint="eastAsia" w:ascii="Times New Roman" w:hAnsi="Times New Roman" w:eastAsia="仿宋_GB2312" w:cs="仿宋_GB2312"/>
                <w:b/>
                <w:bCs/>
                <w:color w:val="000000"/>
                <w:sz w:val="21"/>
                <w:szCs w:val="21"/>
              </w:rPr>
            </w:pPr>
          </w:p>
        </w:tc>
        <w:tc>
          <w:tcPr>
            <w:tcW w:w="1911" w:type="pct"/>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4EE796A">
            <w:pPr>
              <w:widowControl/>
              <w:jc w:val="left"/>
              <w:textAlignment w:val="top"/>
              <w:rPr>
                <w:rFonts w:hint="eastAsia" w:ascii="Times New Roman" w:hAnsi="Times New Roman" w:eastAsia="仿宋_GB2312" w:cs="仿宋_GB2312"/>
                <w:b/>
                <w:bCs/>
                <w:color w:val="000000"/>
                <w:sz w:val="21"/>
                <w:szCs w:val="21"/>
              </w:rPr>
            </w:pPr>
            <w:r>
              <w:rPr>
                <w:rFonts w:hint="eastAsia" w:ascii="Times New Roman" w:hAnsi="Times New Roman" w:eastAsia="仿宋_GB2312" w:cs="仿宋_GB2312"/>
                <w:b/>
                <w:bCs/>
                <w:color w:val="000000"/>
                <w:kern w:val="0"/>
                <w:sz w:val="21"/>
                <w:szCs w:val="21"/>
                <w:lang w:bidi="ar"/>
              </w:rPr>
              <w:t>净稳定资金比例</w:t>
            </w:r>
          </w:p>
        </w:tc>
        <w:tc>
          <w:tcPr>
            <w:tcW w:w="71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7AC3A0A">
            <w:pPr>
              <w:widowControl/>
              <w:jc w:val="left"/>
              <w:textAlignment w:val="top"/>
              <w:rPr>
                <w:rFonts w:hint="eastAsia" w:ascii="Times New Roman" w:hAnsi="Times New Roman" w:eastAsia="仿宋_GB2312" w:cs="仿宋_GB2312"/>
                <w:b/>
                <w:bCs/>
                <w:color w:val="000000"/>
                <w:kern w:val="0"/>
                <w:sz w:val="21"/>
                <w:szCs w:val="21"/>
                <w:lang w:bidi="ar"/>
              </w:rPr>
            </w:pPr>
          </w:p>
        </w:tc>
        <w:tc>
          <w:tcPr>
            <w:tcW w:w="71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094CD5C1">
            <w:pPr>
              <w:widowControl/>
              <w:jc w:val="left"/>
              <w:textAlignment w:val="top"/>
              <w:rPr>
                <w:rFonts w:hint="eastAsia" w:ascii="Times New Roman" w:hAnsi="Times New Roman" w:eastAsia="仿宋_GB2312" w:cs="仿宋_GB2312"/>
                <w:b/>
                <w:bCs/>
                <w:color w:val="000000"/>
                <w:kern w:val="0"/>
                <w:sz w:val="21"/>
                <w:szCs w:val="21"/>
                <w:lang w:bidi="ar"/>
              </w:rPr>
            </w:pPr>
          </w:p>
        </w:tc>
        <w:tc>
          <w:tcPr>
            <w:tcW w:w="722"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E27C4B4">
            <w:pPr>
              <w:widowControl/>
              <w:jc w:val="left"/>
              <w:textAlignment w:val="top"/>
              <w:rPr>
                <w:rFonts w:hint="eastAsia" w:ascii="Times New Roman" w:hAnsi="Times New Roman" w:eastAsia="仿宋_GB2312" w:cs="仿宋_GB2312"/>
                <w:b/>
                <w:bCs/>
                <w:color w:val="000000"/>
                <w:kern w:val="0"/>
                <w:sz w:val="21"/>
                <w:szCs w:val="21"/>
                <w:lang w:bidi="ar"/>
              </w:rPr>
            </w:pPr>
          </w:p>
        </w:tc>
        <w:tc>
          <w:tcPr>
            <w:tcW w:w="686"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29212C0E">
            <w:pPr>
              <w:widowControl/>
              <w:jc w:val="left"/>
              <w:textAlignment w:val="top"/>
              <w:rPr>
                <w:rFonts w:hint="eastAsia" w:ascii="Times New Roman" w:hAnsi="Times New Roman" w:eastAsia="仿宋_GB2312" w:cs="仿宋_GB2312"/>
                <w:b/>
                <w:bCs/>
                <w:color w:val="000000"/>
                <w:kern w:val="0"/>
                <w:sz w:val="21"/>
                <w:szCs w:val="21"/>
                <w:lang w:bidi="ar"/>
              </w:rPr>
            </w:pPr>
          </w:p>
        </w:tc>
      </w:tr>
      <w:tr w14:paraId="49F1F807">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66B09F44">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18</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0D95F5F8">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可用稳定资金合计</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7B59C4D5">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不适用</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1EAC75D9">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77EEC0C8">
            <w:pPr>
              <w:widowControl/>
              <w:jc w:val="left"/>
              <w:textAlignment w:val="center"/>
              <w:rPr>
                <w:rFonts w:hint="eastAsia" w:ascii="Times New Roman" w:hAnsi="Times New Roman" w:eastAsia="仿宋_GB2312" w:cs="仿宋_GB2312"/>
                <w:color w:val="000000"/>
                <w:kern w:val="0"/>
                <w:sz w:val="21"/>
                <w:szCs w:val="21"/>
                <w:lang w:bidi="ar"/>
              </w:rPr>
            </w:pPr>
            <w:r>
              <w:rPr>
                <w:rFonts w:hint="eastAsia" w:ascii="Times New Roman" w:hAnsi="Times New Roman" w:eastAsia="仿宋_GB2312" w:cs="仿宋_GB2312"/>
                <w:color w:val="000000"/>
                <w:kern w:val="0"/>
                <w:sz w:val="21"/>
                <w:szCs w:val="21"/>
                <w:lang w:bidi="ar"/>
              </w:rPr>
              <w:t>不适用</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75722CA7">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0BBFC051">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bidi="ar"/>
              </w:rPr>
              <w:t>不适用</w:t>
            </w:r>
          </w:p>
        </w:tc>
      </w:tr>
      <w:tr w14:paraId="1ECFCB68">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3BE621B0">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19</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4E2BE2C5">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所需稳定资金合计</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54B67CE4">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不适用</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64E30C7A">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1D382FB2">
            <w:pPr>
              <w:widowControl/>
              <w:jc w:val="left"/>
              <w:textAlignment w:val="center"/>
              <w:rPr>
                <w:rFonts w:hint="eastAsia" w:ascii="Times New Roman" w:hAnsi="Times New Roman" w:eastAsia="仿宋_GB2312" w:cs="仿宋_GB2312"/>
                <w:color w:val="000000"/>
                <w:kern w:val="0"/>
                <w:sz w:val="21"/>
                <w:szCs w:val="21"/>
                <w:lang w:bidi="ar"/>
              </w:rPr>
            </w:pPr>
            <w:r>
              <w:rPr>
                <w:rFonts w:hint="eastAsia" w:ascii="Times New Roman" w:hAnsi="Times New Roman" w:eastAsia="仿宋_GB2312" w:cs="仿宋_GB2312"/>
                <w:color w:val="000000"/>
                <w:kern w:val="0"/>
                <w:sz w:val="21"/>
                <w:szCs w:val="21"/>
                <w:lang w:bidi="ar"/>
              </w:rPr>
              <w:t>不适用</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4A138F65">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0A734798">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bidi="ar"/>
              </w:rPr>
              <w:t>不适用</w:t>
            </w:r>
          </w:p>
        </w:tc>
      </w:tr>
      <w:tr w14:paraId="264C4C64">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noWrap w:val="0"/>
            <w:vAlign w:val="center"/>
          </w:tcPr>
          <w:p w14:paraId="5E27F02D">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20</w:t>
            </w:r>
          </w:p>
        </w:tc>
        <w:tc>
          <w:tcPr>
            <w:tcW w:w="1194" w:type="pct"/>
            <w:tcBorders>
              <w:top w:val="single" w:color="000000" w:sz="4" w:space="0"/>
              <w:left w:val="single" w:color="000000" w:sz="4" w:space="0"/>
              <w:bottom w:val="single" w:color="000000" w:sz="4" w:space="0"/>
              <w:right w:val="single" w:color="000000" w:sz="4" w:space="0"/>
            </w:tcBorders>
            <w:noWrap w:val="0"/>
            <w:vAlign w:val="center"/>
          </w:tcPr>
          <w:p w14:paraId="6A7858F0">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净稳定资金比例（%）</w:t>
            </w:r>
          </w:p>
        </w:tc>
        <w:tc>
          <w:tcPr>
            <w:tcW w:w="717" w:type="pct"/>
            <w:tcBorders>
              <w:top w:val="single" w:color="000000" w:sz="4" w:space="0"/>
              <w:left w:val="single" w:color="000000" w:sz="4" w:space="0"/>
              <w:bottom w:val="single" w:color="000000" w:sz="4" w:space="0"/>
              <w:right w:val="single" w:color="000000" w:sz="4" w:space="0"/>
            </w:tcBorders>
            <w:noWrap w:val="0"/>
            <w:vAlign w:val="center"/>
          </w:tcPr>
          <w:p w14:paraId="5D5A345E">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不适用</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542FB2B3">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711" w:type="pct"/>
            <w:tcBorders>
              <w:top w:val="single" w:color="000000" w:sz="4" w:space="0"/>
              <w:left w:val="single" w:color="000000" w:sz="4" w:space="0"/>
              <w:bottom w:val="single" w:color="000000" w:sz="4" w:space="0"/>
              <w:right w:val="single" w:color="000000" w:sz="4" w:space="0"/>
            </w:tcBorders>
            <w:noWrap w:val="0"/>
            <w:vAlign w:val="center"/>
          </w:tcPr>
          <w:p w14:paraId="12A7F4FC">
            <w:pPr>
              <w:widowControl/>
              <w:jc w:val="left"/>
              <w:textAlignment w:val="center"/>
              <w:rPr>
                <w:rFonts w:hint="eastAsia" w:ascii="Times New Roman" w:hAnsi="Times New Roman" w:eastAsia="仿宋_GB2312" w:cs="仿宋_GB2312"/>
                <w:color w:val="000000"/>
                <w:kern w:val="0"/>
                <w:sz w:val="21"/>
                <w:szCs w:val="21"/>
                <w:lang w:bidi="ar"/>
              </w:rPr>
            </w:pPr>
            <w:r>
              <w:rPr>
                <w:rFonts w:hint="eastAsia" w:ascii="Times New Roman" w:hAnsi="Times New Roman" w:eastAsia="仿宋_GB2312" w:cs="仿宋_GB2312"/>
                <w:color w:val="000000"/>
                <w:kern w:val="0"/>
                <w:sz w:val="21"/>
                <w:szCs w:val="21"/>
                <w:lang w:bidi="ar"/>
              </w:rPr>
              <w:t>不适用</w:t>
            </w:r>
          </w:p>
        </w:tc>
        <w:tc>
          <w:tcPr>
            <w:tcW w:w="722" w:type="pct"/>
            <w:tcBorders>
              <w:top w:val="single" w:color="000000" w:sz="4" w:space="0"/>
              <w:left w:val="single" w:color="000000" w:sz="4" w:space="0"/>
              <w:bottom w:val="single" w:color="000000" w:sz="4" w:space="0"/>
              <w:right w:val="single" w:color="000000" w:sz="4" w:space="0"/>
            </w:tcBorders>
            <w:noWrap w:val="0"/>
            <w:vAlign w:val="center"/>
          </w:tcPr>
          <w:p w14:paraId="50ECAB6B">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kern w:val="0"/>
                <w:sz w:val="21"/>
                <w:szCs w:val="21"/>
                <w:lang w:bidi="ar"/>
              </w:rPr>
              <w:t>不适用</w:t>
            </w:r>
          </w:p>
        </w:tc>
        <w:tc>
          <w:tcPr>
            <w:tcW w:w="686" w:type="pct"/>
            <w:tcBorders>
              <w:top w:val="single" w:color="000000" w:sz="4" w:space="0"/>
              <w:left w:val="single" w:color="000000" w:sz="4" w:space="0"/>
              <w:bottom w:val="single" w:color="000000" w:sz="4" w:space="0"/>
              <w:right w:val="single" w:color="000000" w:sz="4" w:space="0"/>
            </w:tcBorders>
            <w:noWrap w:val="0"/>
            <w:vAlign w:val="center"/>
          </w:tcPr>
          <w:p w14:paraId="1DC099BE">
            <w:pPr>
              <w:widowControl/>
              <w:jc w:val="left"/>
              <w:textAlignment w:val="center"/>
              <w:rPr>
                <w:rFonts w:hint="eastAsia" w:ascii="Times New Roman" w:hAnsi="Times New Roman" w:eastAsia="仿宋_GB2312" w:cs="仿宋_GB2312"/>
                <w:color w:val="000000"/>
                <w:kern w:val="0"/>
                <w:sz w:val="21"/>
                <w:szCs w:val="21"/>
                <w:lang w:val="en-US" w:eastAsia="zh-CN" w:bidi="ar"/>
              </w:rPr>
            </w:pPr>
            <w:r>
              <w:rPr>
                <w:rFonts w:hint="eastAsia" w:ascii="Times New Roman" w:hAnsi="Times New Roman" w:eastAsia="仿宋_GB2312" w:cs="仿宋_GB2312"/>
                <w:color w:val="000000"/>
                <w:kern w:val="0"/>
                <w:sz w:val="21"/>
                <w:szCs w:val="21"/>
                <w:lang w:bidi="ar"/>
              </w:rPr>
              <w:t>不适用</w:t>
            </w:r>
          </w:p>
        </w:tc>
      </w:tr>
      <w:tr w14:paraId="0DE1D35D">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34EE79A7">
            <w:pPr>
              <w:rPr>
                <w:rFonts w:hint="eastAsia" w:ascii="Times New Roman" w:hAnsi="Times New Roman" w:eastAsia="仿宋_GB2312" w:cs="仿宋_GB2312"/>
                <w:b/>
                <w:bCs/>
                <w:color w:val="000000"/>
                <w:sz w:val="21"/>
                <w:szCs w:val="21"/>
              </w:rPr>
            </w:pPr>
          </w:p>
        </w:tc>
        <w:tc>
          <w:tcPr>
            <w:tcW w:w="1911" w:type="pct"/>
            <w:gridSpan w:val="2"/>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1CF990B5">
            <w:pPr>
              <w:widowControl/>
              <w:jc w:val="left"/>
              <w:textAlignment w:val="top"/>
              <w:rPr>
                <w:rFonts w:hint="eastAsia" w:ascii="Times New Roman" w:hAnsi="Times New Roman" w:eastAsia="仿宋_GB2312" w:cs="仿宋_GB2312"/>
                <w:b/>
                <w:bCs/>
                <w:color w:val="000000"/>
                <w:sz w:val="21"/>
                <w:szCs w:val="21"/>
              </w:rPr>
            </w:pPr>
            <w:r>
              <w:rPr>
                <w:rFonts w:hint="eastAsia" w:ascii="Times New Roman" w:hAnsi="Times New Roman" w:eastAsia="仿宋_GB2312" w:cs="仿宋_GB2312"/>
                <w:b/>
                <w:bCs/>
                <w:color w:val="000000"/>
                <w:kern w:val="0"/>
                <w:sz w:val="21"/>
                <w:szCs w:val="21"/>
                <w:lang w:bidi="ar"/>
              </w:rPr>
              <w:t>流动性比例</w:t>
            </w:r>
          </w:p>
        </w:tc>
        <w:tc>
          <w:tcPr>
            <w:tcW w:w="711" w:type="pct"/>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7BE94707">
            <w:pPr>
              <w:widowControl/>
              <w:jc w:val="left"/>
              <w:textAlignment w:val="top"/>
              <w:rPr>
                <w:rFonts w:hint="eastAsia" w:ascii="Times New Roman" w:hAnsi="Times New Roman" w:eastAsia="仿宋_GB2312" w:cs="仿宋_GB2312"/>
                <w:b/>
                <w:bCs/>
                <w:color w:val="000000"/>
                <w:kern w:val="0"/>
                <w:sz w:val="21"/>
                <w:szCs w:val="21"/>
                <w:lang w:bidi="ar"/>
              </w:rPr>
            </w:pPr>
          </w:p>
        </w:tc>
        <w:tc>
          <w:tcPr>
            <w:tcW w:w="711" w:type="pct"/>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03DB9768">
            <w:pPr>
              <w:widowControl/>
              <w:jc w:val="left"/>
              <w:textAlignment w:val="top"/>
              <w:rPr>
                <w:rFonts w:hint="eastAsia" w:ascii="Times New Roman" w:hAnsi="Times New Roman" w:eastAsia="仿宋_GB2312" w:cs="仿宋_GB2312"/>
                <w:b/>
                <w:bCs/>
                <w:color w:val="000000"/>
                <w:kern w:val="0"/>
                <w:sz w:val="21"/>
                <w:szCs w:val="21"/>
                <w:lang w:bidi="ar"/>
              </w:rPr>
            </w:pPr>
          </w:p>
        </w:tc>
        <w:tc>
          <w:tcPr>
            <w:tcW w:w="722" w:type="pct"/>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40CC0B73">
            <w:pPr>
              <w:widowControl/>
              <w:jc w:val="left"/>
              <w:textAlignment w:val="top"/>
              <w:rPr>
                <w:rFonts w:hint="eastAsia" w:ascii="Times New Roman" w:hAnsi="Times New Roman" w:eastAsia="仿宋_GB2312" w:cs="仿宋_GB2312"/>
                <w:b/>
                <w:bCs/>
                <w:color w:val="000000"/>
                <w:kern w:val="0"/>
                <w:sz w:val="21"/>
                <w:szCs w:val="21"/>
                <w:lang w:bidi="ar"/>
              </w:rPr>
            </w:pPr>
          </w:p>
        </w:tc>
        <w:tc>
          <w:tcPr>
            <w:tcW w:w="686" w:type="pct"/>
            <w:tcBorders>
              <w:top w:val="single" w:color="000000" w:sz="4" w:space="0"/>
              <w:left w:val="single" w:color="000000" w:sz="4" w:space="0"/>
              <w:bottom w:val="single" w:color="000000" w:sz="4" w:space="0"/>
              <w:right w:val="single" w:color="000000" w:sz="4" w:space="0"/>
            </w:tcBorders>
            <w:shd w:val="clear" w:color="auto" w:fill="D8D8D8"/>
            <w:noWrap w:val="0"/>
            <w:vAlign w:val="center"/>
          </w:tcPr>
          <w:p w14:paraId="23EDACDC">
            <w:pPr>
              <w:widowControl/>
              <w:jc w:val="left"/>
              <w:textAlignment w:val="top"/>
              <w:rPr>
                <w:rFonts w:hint="eastAsia" w:ascii="Times New Roman" w:hAnsi="Times New Roman" w:eastAsia="仿宋_GB2312" w:cs="仿宋_GB2312"/>
                <w:b/>
                <w:bCs/>
                <w:color w:val="000000"/>
                <w:kern w:val="0"/>
                <w:sz w:val="21"/>
                <w:szCs w:val="21"/>
                <w:lang w:bidi="ar"/>
              </w:rPr>
            </w:pPr>
          </w:p>
        </w:tc>
      </w:tr>
      <w:tr w14:paraId="75888BAB">
        <w:tblPrEx>
          <w:tblCellMar>
            <w:top w:w="0" w:type="dxa"/>
            <w:left w:w="108" w:type="dxa"/>
            <w:bottom w:w="0" w:type="dxa"/>
            <w:right w:w="108" w:type="dxa"/>
          </w:tblCellMar>
        </w:tblPrEx>
        <w:trPr>
          <w:trHeight w:val="482" w:hRule="exact"/>
        </w:trPr>
        <w:tc>
          <w:tcPr>
            <w:tcW w:w="255"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FB04AD">
            <w:pPr>
              <w:widowControl/>
              <w:jc w:val="center"/>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21</w:t>
            </w:r>
          </w:p>
        </w:tc>
        <w:tc>
          <w:tcPr>
            <w:tcW w:w="1194"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49D3AF">
            <w:pPr>
              <w:widowControl/>
              <w:jc w:val="left"/>
              <w:textAlignment w:val="center"/>
              <w:rPr>
                <w:rFonts w:hint="eastAsia" w:ascii="Times New Roman" w:hAnsi="Times New Roman" w:eastAsia="仿宋_GB2312" w:cs="仿宋_GB2312"/>
                <w:color w:val="000000"/>
                <w:sz w:val="21"/>
                <w:szCs w:val="21"/>
              </w:rPr>
            </w:pPr>
            <w:r>
              <w:rPr>
                <w:rFonts w:hint="eastAsia" w:ascii="Times New Roman" w:hAnsi="Times New Roman" w:eastAsia="仿宋_GB2312" w:cs="仿宋_GB2312"/>
                <w:color w:val="000000"/>
                <w:kern w:val="0"/>
                <w:sz w:val="21"/>
                <w:szCs w:val="21"/>
                <w:lang w:bidi="ar"/>
              </w:rPr>
              <w:t>流动性比例（%）</w:t>
            </w:r>
          </w:p>
        </w:tc>
        <w:tc>
          <w:tcPr>
            <w:tcW w:w="717"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EA8263">
            <w:pPr>
              <w:widowControl/>
              <w:jc w:val="left"/>
              <w:textAlignment w:val="center"/>
              <w:rPr>
                <w:rFonts w:hint="default"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68.88</w:t>
            </w:r>
          </w:p>
        </w:tc>
        <w:tc>
          <w:tcPr>
            <w:tcW w:w="71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CE83BC">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60.74</w:t>
            </w:r>
          </w:p>
        </w:tc>
        <w:tc>
          <w:tcPr>
            <w:tcW w:w="711"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8AB406">
            <w:pPr>
              <w:widowControl/>
              <w:jc w:val="left"/>
              <w:textAlignment w:val="center"/>
              <w:rPr>
                <w:rFonts w:hint="eastAsia" w:ascii="Times New Roman" w:hAnsi="Times New Roman" w:eastAsia="仿宋_GB2312" w:cs="仿宋_GB2312"/>
                <w:color w:val="000000"/>
                <w:sz w:val="21"/>
                <w:szCs w:val="21"/>
                <w:lang w:val="en-US" w:eastAsia="zh-CN"/>
              </w:rPr>
            </w:pPr>
            <w:r>
              <w:rPr>
                <w:rFonts w:hint="eastAsia" w:ascii="Times New Roman" w:hAnsi="Times New Roman" w:eastAsia="仿宋_GB2312" w:cs="仿宋_GB2312"/>
                <w:color w:val="000000"/>
                <w:sz w:val="21"/>
                <w:szCs w:val="21"/>
                <w:lang w:val="en-US" w:eastAsia="zh-CN"/>
              </w:rPr>
              <w:t>58.16</w:t>
            </w:r>
          </w:p>
        </w:tc>
        <w:tc>
          <w:tcPr>
            <w:tcW w:w="722"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F685E9">
            <w:pPr>
              <w:widowControl/>
              <w:jc w:val="left"/>
              <w:textAlignment w:val="center"/>
              <w:rPr>
                <w:rFonts w:hint="default" w:ascii="Times New Roman" w:hAnsi="Times New Roman" w:eastAsia="仿宋_GB2312" w:cs="仿宋_GB2312"/>
                <w:color w:val="000000"/>
                <w:kern w:val="2"/>
                <w:sz w:val="21"/>
                <w:szCs w:val="21"/>
                <w:lang w:val="en-US" w:eastAsia="zh-CN" w:bidi="ar-SA"/>
              </w:rPr>
            </w:pPr>
            <w:r>
              <w:rPr>
                <w:rFonts w:hint="eastAsia" w:ascii="Times New Roman" w:hAnsi="Times New Roman" w:eastAsia="仿宋_GB2312" w:cs="仿宋_GB2312"/>
                <w:color w:val="000000"/>
                <w:sz w:val="21"/>
                <w:szCs w:val="21"/>
                <w:lang w:val="en-US" w:eastAsia="zh-CN"/>
              </w:rPr>
              <w:t>57.43</w:t>
            </w:r>
          </w:p>
        </w:tc>
        <w:tc>
          <w:tcPr>
            <w:tcW w:w="686" w:type="pc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5B792E">
            <w:pPr>
              <w:widowControl/>
              <w:jc w:val="left"/>
              <w:textAlignment w:val="center"/>
              <w:rPr>
                <w:rFonts w:hint="eastAsia" w:ascii="Times New Roman" w:hAnsi="Times New Roman" w:eastAsia="仿宋_GB2312" w:cs="仿宋_GB2312"/>
                <w:color w:val="000000"/>
                <w:kern w:val="2"/>
                <w:sz w:val="21"/>
                <w:szCs w:val="21"/>
                <w:lang w:val="en-US" w:eastAsia="zh-CN" w:bidi="ar-SA"/>
              </w:rPr>
            </w:pPr>
            <w:r>
              <w:rPr>
                <w:rFonts w:hint="eastAsia" w:ascii="Times New Roman" w:hAnsi="Times New Roman" w:eastAsia="宋体" w:cs="Times New Roman"/>
                <w:color w:val="000000"/>
                <w:sz w:val="20"/>
                <w:szCs w:val="20"/>
                <w:lang w:val="en-US" w:eastAsia="zh-CN"/>
              </w:rPr>
              <w:t>50.38</w:t>
            </w:r>
          </w:p>
        </w:tc>
      </w:tr>
    </w:tbl>
    <w:p w14:paraId="0041E320">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黑体" w:hAnsi="黑体" w:eastAsia="黑体" w:cs="黑体"/>
          <w:spacing w:val="8"/>
          <w:sz w:val="32"/>
          <w:szCs w:val="32"/>
          <w:highlight w:val="none"/>
          <w:lang w:eastAsia="zh-CN"/>
        </w:rPr>
      </w:pPr>
    </w:p>
    <w:p w14:paraId="02192C30">
      <w:pPr>
        <w:keepNext w:val="0"/>
        <w:keepLines w:val="0"/>
        <w:pageBreakBefore w:val="0"/>
        <w:widowControl/>
        <w:kinsoku w:val="0"/>
        <w:wordWrap/>
        <w:overflowPunct/>
        <w:topLinePunct w:val="0"/>
        <w:autoSpaceDE w:val="0"/>
        <w:autoSpaceDN w:val="0"/>
        <w:bidi w:val="0"/>
        <w:adjustRightInd w:val="0"/>
        <w:snapToGrid w:val="0"/>
        <w:spacing w:line="560" w:lineRule="exact"/>
        <w:ind w:firstLine="2688" w:firstLineChars="800"/>
        <w:textAlignment w:val="baseline"/>
        <w:rPr>
          <w:rFonts w:hint="eastAsia" w:ascii="黑体" w:hAnsi="黑体" w:eastAsia="黑体" w:cs="黑体"/>
          <w:sz w:val="32"/>
          <w:szCs w:val="32"/>
          <w:highlight w:val="none"/>
          <w:lang w:eastAsia="zh-CN"/>
        </w:rPr>
      </w:pPr>
      <w:r>
        <w:rPr>
          <w:rFonts w:hint="eastAsia" w:ascii="黑体" w:hAnsi="黑体" w:eastAsia="黑体" w:cs="黑体"/>
          <w:spacing w:val="8"/>
          <w:sz w:val="32"/>
          <w:szCs w:val="32"/>
          <w:highlight w:val="none"/>
          <w:lang w:eastAsia="zh-CN"/>
        </w:rPr>
        <w:t>第三节</w:t>
      </w:r>
      <w:r>
        <w:rPr>
          <w:rFonts w:hint="eastAsia" w:ascii="黑体" w:hAnsi="黑体" w:eastAsia="黑体" w:cs="黑体"/>
          <w:spacing w:val="8"/>
          <w:sz w:val="32"/>
          <w:szCs w:val="32"/>
          <w:highlight w:val="none"/>
          <w:lang w:val="en-US" w:eastAsia="zh-CN"/>
        </w:rPr>
        <w:t xml:space="preserve">  </w:t>
      </w:r>
      <w:r>
        <w:rPr>
          <w:rFonts w:ascii="黑体" w:hAnsi="黑体" w:eastAsia="黑体" w:cs="黑体"/>
          <w:spacing w:val="8"/>
          <w:sz w:val="32"/>
          <w:szCs w:val="32"/>
          <w:highlight w:val="none"/>
        </w:rPr>
        <w:t>股权管理情况</w:t>
      </w:r>
    </w:p>
    <w:p w14:paraId="6666CAF3">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eastAsia" w:ascii="楷体_GB2312" w:hAnsi="楷体_GB2312" w:eastAsia="楷体_GB2312" w:cs="楷体_GB2312"/>
          <w:b w:val="0"/>
          <w:bCs w:val="0"/>
          <w:spacing w:val="5"/>
          <w:sz w:val="32"/>
          <w:szCs w:val="32"/>
        </w:rPr>
      </w:pPr>
      <w:r>
        <w:rPr>
          <w:rFonts w:hint="eastAsia" w:ascii="楷体_GB2312" w:hAnsi="楷体_GB2312" w:eastAsia="楷体_GB2312" w:cs="楷体_GB2312"/>
          <w:b w:val="0"/>
          <w:bCs w:val="0"/>
          <w:spacing w:val="5"/>
          <w:sz w:val="32"/>
          <w:szCs w:val="32"/>
        </w:rPr>
        <w:t>（一）股份变动情况</w:t>
      </w:r>
    </w:p>
    <w:tbl>
      <w:tblPr>
        <w:tblStyle w:val="6"/>
        <w:tblW w:w="865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50"/>
        <w:gridCol w:w="765"/>
        <w:gridCol w:w="1279"/>
        <w:gridCol w:w="1080"/>
        <w:gridCol w:w="846"/>
        <w:gridCol w:w="1150"/>
        <w:gridCol w:w="1117"/>
        <w:gridCol w:w="1164"/>
      </w:tblGrid>
      <w:tr w14:paraId="62F3D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jc w:val="center"/>
        </w:trPr>
        <w:tc>
          <w:tcPr>
            <w:tcW w:w="1250" w:type="dxa"/>
            <w:vMerge w:val="restart"/>
            <w:tcBorders>
              <w:top w:val="single" w:color="000000" w:sz="8" w:space="0"/>
              <w:left w:val="single" w:color="000000" w:sz="8" w:space="0"/>
              <w:bottom w:val="single" w:color="000000" w:sz="4" w:space="0"/>
              <w:right w:val="single" w:color="000000" w:sz="4" w:space="0"/>
            </w:tcBorders>
            <w:shd w:val="clear" w:color="auto" w:fill="0070C0"/>
            <w:vAlign w:val="center"/>
          </w:tcPr>
          <w:p w14:paraId="4FA0DB0A">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股东类别</w:t>
            </w:r>
          </w:p>
        </w:tc>
        <w:tc>
          <w:tcPr>
            <w:tcW w:w="3124" w:type="dxa"/>
            <w:gridSpan w:val="3"/>
            <w:tcBorders>
              <w:top w:val="single" w:color="000000" w:sz="8" w:space="0"/>
              <w:left w:val="single" w:color="000000" w:sz="4" w:space="0"/>
              <w:bottom w:val="single" w:color="000000" w:sz="4" w:space="0"/>
              <w:right w:val="single" w:color="000000" w:sz="4" w:space="0"/>
            </w:tcBorders>
            <w:shd w:val="clear" w:color="auto" w:fill="0070C0"/>
            <w:vAlign w:val="center"/>
          </w:tcPr>
          <w:p w14:paraId="049FC21E">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2025年</w:t>
            </w:r>
            <w:r>
              <w:rPr>
                <w:rFonts w:hint="eastAsia" w:ascii="Times New Roman" w:hAnsi="Times New Roman" w:eastAsia="宋体" w:cs="Times New Roman"/>
                <w:b/>
                <w:bCs/>
                <w:snapToGrid w:val="0"/>
                <w:color w:val="FFFFFF"/>
                <w:spacing w:val="7"/>
                <w:kern w:val="0"/>
                <w:sz w:val="20"/>
                <w:szCs w:val="20"/>
                <w:lang w:val="en-US" w:eastAsia="zh-CN" w:bidi="ar-SA"/>
              </w:rPr>
              <w:t>9</w:t>
            </w:r>
            <w:r>
              <w:rPr>
                <w:rFonts w:hint="default" w:ascii="Times New Roman" w:hAnsi="Times New Roman" w:eastAsia="宋体" w:cs="Times New Roman"/>
                <w:b/>
                <w:bCs/>
                <w:snapToGrid w:val="0"/>
                <w:color w:val="FFFFFF"/>
                <w:spacing w:val="7"/>
                <w:kern w:val="0"/>
                <w:sz w:val="20"/>
                <w:szCs w:val="20"/>
                <w:lang w:val="en-US" w:eastAsia="zh-CN" w:bidi="ar-SA"/>
              </w:rPr>
              <w:t>月末</w:t>
            </w:r>
          </w:p>
        </w:tc>
        <w:tc>
          <w:tcPr>
            <w:tcW w:w="3113" w:type="dxa"/>
            <w:gridSpan w:val="3"/>
            <w:tcBorders>
              <w:top w:val="single" w:color="000000" w:sz="8" w:space="0"/>
              <w:left w:val="single" w:color="000000" w:sz="4" w:space="0"/>
              <w:bottom w:val="single" w:color="000000" w:sz="4" w:space="0"/>
              <w:right w:val="single" w:color="000000" w:sz="4" w:space="0"/>
            </w:tcBorders>
            <w:shd w:val="clear" w:color="auto" w:fill="0070C0"/>
            <w:vAlign w:val="center"/>
          </w:tcPr>
          <w:p w14:paraId="0C47447F">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2025年</w:t>
            </w:r>
            <w:r>
              <w:rPr>
                <w:rFonts w:hint="eastAsia" w:ascii="Times New Roman" w:hAnsi="Times New Roman" w:eastAsia="宋体" w:cs="Times New Roman"/>
                <w:b/>
                <w:bCs/>
                <w:snapToGrid w:val="0"/>
                <w:color w:val="FFFFFF"/>
                <w:spacing w:val="7"/>
                <w:kern w:val="0"/>
                <w:sz w:val="20"/>
                <w:szCs w:val="20"/>
                <w:lang w:val="en-US" w:eastAsia="zh-CN" w:bidi="ar-SA"/>
              </w:rPr>
              <w:t>6</w:t>
            </w:r>
            <w:r>
              <w:rPr>
                <w:rFonts w:hint="default" w:ascii="Times New Roman" w:hAnsi="Times New Roman" w:eastAsia="宋体" w:cs="Times New Roman"/>
                <w:b/>
                <w:bCs/>
                <w:snapToGrid w:val="0"/>
                <w:color w:val="FFFFFF"/>
                <w:spacing w:val="7"/>
                <w:kern w:val="0"/>
                <w:sz w:val="20"/>
                <w:szCs w:val="20"/>
                <w:lang w:val="en-US" w:eastAsia="zh-CN" w:bidi="ar-SA"/>
              </w:rPr>
              <w:t>月末</w:t>
            </w:r>
          </w:p>
        </w:tc>
        <w:tc>
          <w:tcPr>
            <w:tcW w:w="1164"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34A25906">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变动情况</w:t>
            </w:r>
          </w:p>
        </w:tc>
      </w:tr>
      <w:tr w14:paraId="0421B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jc w:val="center"/>
        </w:trPr>
        <w:tc>
          <w:tcPr>
            <w:tcW w:w="1250" w:type="dxa"/>
            <w:vMerge w:val="continue"/>
            <w:tcBorders>
              <w:top w:val="single" w:color="000000" w:sz="8" w:space="0"/>
              <w:left w:val="single" w:color="000000" w:sz="8" w:space="0"/>
              <w:bottom w:val="single" w:color="000000" w:sz="4" w:space="0"/>
              <w:right w:val="single" w:color="000000" w:sz="4" w:space="0"/>
            </w:tcBorders>
            <w:shd w:val="clear" w:color="auto" w:fill="0070C0"/>
            <w:vAlign w:val="center"/>
          </w:tcPr>
          <w:p w14:paraId="39A7D080">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p>
        </w:tc>
        <w:tc>
          <w:tcPr>
            <w:tcW w:w="765"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13462139">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股东</w:t>
            </w:r>
          </w:p>
          <w:p w14:paraId="03E74438">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户数</w:t>
            </w:r>
          </w:p>
        </w:tc>
        <w:tc>
          <w:tcPr>
            <w:tcW w:w="1279"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1CB6783A">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持股数量</w:t>
            </w:r>
          </w:p>
          <w:p w14:paraId="28ACB79E">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（万股）</w:t>
            </w:r>
          </w:p>
        </w:tc>
        <w:tc>
          <w:tcPr>
            <w:tcW w:w="1080"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252C5EE1">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持股比例（%）</w:t>
            </w:r>
          </w:p>
        </w:tc>
        <w:tc>
          <w:tcPr>
            <w:tcW w:w="846"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2B605FF0">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股东</w:t>
            </w:r>
          </w:p>
          <w:p w14:paraId="6CF0A710">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户数</w:t>
            </w:r>
          </w:p>
        </w:tc>
        <w:tc>
          <w:tcPr>
            <w:tcW w:w="1150"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71169157">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持股数量</w:t>
            </w:r>
          </w:p>
          <w:p w14:paraId="613F7D50">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（万股）</w:t>
            </w:r>
          </w:p>
        </w:tc>
        <w:tc>
          <w:tcPr>
            <w:tcW w:w="1117"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60AC6E7B">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持股比例（%）</w:t>
            </w:r>
          </w:p>
        </w:tc>
        <w:tc>
          <w:tcPr>
            <w:tcW w:w="1164" w:type="dxa"/>
            <w:tcBorders>
              <w:top w:val="single" w:color="000000" w:sz="4" w:space="0"/>
              <w:left w:val="single" w:color="000000" w:sz="4" w:space="0"/>
              <w:bottom w:val="single" w:color="000000" w:sz="4" w:space="0"/>
              <w:right w:val="single" w:color="000000" w:sz="4" w:space="0"/>
            </w:tcBorders>
            <w:shd w:val="clear" w:color="auto" w:fill="0070C0"/>
            <w:vAlign w:val="center"/>
          </w:tcPr>
          <w:p w14:paraId="603684CB">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股东</w:t>
            </w:r>
          </w:p>
          <w:p w14:paraId="1B5751EC">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户数</w:t>
            </w:r>
          </w:p>
        </w:tc>
      </w:tr>
      <w:tr w14:paraId="29863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25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38E47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企业法人</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FE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92</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01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88731.83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68B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47.13</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5A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92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1E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88731.83</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14A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47.13</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E3811">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0</w:t>
            </w:r>
          </w:p>
        </w:tc>
      </w:tr>
      <w:tr w14:paraId="63473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25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78FFE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社会自然人</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B7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10162</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AD9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69319.32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E11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snapToGrid w:val="0"/>
                <w:color w:val="000000"/>
                <w:kern w:val="0"/>
                <w:sz w:val="20"/>
                <w:szCs w:val="20"/>
                <w:u w:val="none"/>
                <w:lang w:val="en-US" w:eastAsia="zh-CN" w:bidi="ar"/>
              </w:rPr>
              <w:t>36.8</w:t>
            </w:r>
            <w:r>
              <w:rPr>
                <w:rFonts w:hint="eastAsia" w:ascii="Times New Roman" w:hAnsi="Times New Roman" w:eastAsia="宋体" w:cs="Times New Roman"/>
                <w:i w:val="0"/>
                <w:iCs w:val="0"/>
                <w:snapToGrid w:val="0"/>
                <w:color w:val="000000"/>
                <w:kern w:val="0"/>
                <w:sz w:val="20"/>
                <w:szCs w:val="20"/>
                <w:u w:val="none"/>
                <w:lang w:val="en-US" w:eastAsia="zh-CN" w:bidi="ar"/>
              </w:rPr>
              <w:t>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2BD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10170</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BF9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69325.46</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B3A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snapToGrid w:val="0"/>
                <w:color w:val="000000"/>
                <w:kern w:val="0"/>
                <w:sz w:val="20"/>
                <w:szCs w:val="20"/>
                <w:u w:val="none"/>
                <w:lang w:val="en-US" w:eastAsia="zh-CN" w:bidi="ar"/>
              </w:rPr>
              <w:t>36.8</w:t>
            </w:r>
            <w:r>
              <w:rPr>
                <w:rFonts w:hint="eastAsia" w:ascii="Times New Roman" w:hAnsi="Times New Roman" w:eastAsia="宋体" w:cs="Times New Roman"/>
                <w:i w:val="0"/>
                <w:iCs w:val="0"/>
                <w:snapToGrid w:val="0"/>
                <w:color w:val="000000"/>
                <w:kern w:val="0"/>
                <w:sz w:val="20"/>
                <w:szCs w:val="20"/>
                <w:u w:val="none"/>
                <w:lang w:val="en-US" w:eastAsia="zh-CN" w:bidi="ar"/>
              </w:rPr>
              <w:t>2</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7282">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-8</w:t>
            </w:r>
          </w:p>
        </w:tc>
      </w:tr>
      <w:tr w14:paraId="41444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25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F8C0C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职工</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60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736</w:t>
            </w:r>
          </w:p>
        </w:tc>
        <w:tc>
          <w:tcPr>
            <w:tcW w:w="12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B475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30226.81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76E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snapToGrid w:val="0"/>
                <w:color w:val="000000"/>
                <w:kern w:val="0"/>
                <w:sz w:val="20"/>
                <w:szCs w:val="20"/>
                <w:u w:val="none"/>
                <w:lang w:val="en-US" w:eastAsia="zh-CN" w:bidi="ar"/>
              </w:rPr>
              <w:t>16.0</w:t>
            </w:r>
            <w:r>
              <w:rPr>
                <w:rFonts w:hint="eastAsia" w:ascii="Times New Roman" w:hAnsi="Times New Roman" w:eastAsia="宋体" w:cs="Times New Roman"/>
                <w:i w:val="0"/>
                <w:iCs w:val="0"/>
                <w:snapToGrid w:val="0"/>
                <w:color w:val="000000"/>
                <w:kern w:val="0"/>
                <w:sz w:val="20"/>
                <w:szCs w:val="20"/>
                <w:u w:val="none"/>
                <w:lang w:val="en-US" w:eastAsia="zh-CN" w:bidi="ar"/>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F52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737</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1F7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30220.67</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6D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snapToGrid w:val="0"/>
                <w:color w:val="000000"/>
                <w:kern w:val="0"/>
                <w:sz w:val="20"/>
                <w:szCs w:val="20"/>
                <w:u w:val="none"/>
                <w:lang w:val="en-US" w:eastAsia="zh-CN" w:bidi="ar"/>
              </w:rPr>
              <w:t>16.0</w:t>
            </w:r>
            <w:r>
              <w:rPr>
                <w:rFonts w:hint="eastAsia" w:ascii="Times New Roman" w:hAnsi="Times New Roman" w:eastAsia="宋体" w:cs="Times New Roman"/>
                <w:i w:val="0"/>
                <w:iCs w:val="0"/>
                <w:snapToGrid w:val="0"/>
                <w:color w:val="000000"/>
                <w:kern w:val="0"/>
                <w:sz w:val="20"/>
                <w:szCs w:val="20"/>
                <w:u w:val="none"/>
                <w:lang w:val="en-US" w:eastAsia="zh-CN" w:bidi="ar"/>
              </w:rPr>
              <w:t>5</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A05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-1</w:t>
            </w:r>
          </w:p>
        </w:tc>
      </w:tr>
      <w:tr w14:paraId="66675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1250" w:type="dxa"/>
            <w:tcBorders>
              <w:top w:val="single" w:color="000000" w:sz="4" w:space="0"/>
              <w:left w:val="single" w:color="000000" w:sz="8" w:space="0"/>
              <w:bottom w:val="single" w:color="000000" w:sz="8" w:space="0"/>
              <w:right w:val="single" w:color="000000" w:sz="4" w:space="0"/>
            </w:tcBorders>
            <w:shd w:val="clear" w:color="auto" w:fill="auto"/>
            <w:vAlign w:val="center"/>
          </w:tcPr>
          <w:p w14:paraId="44EBC0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合 计</w:t>
            </w:r>
          </w:p>
        </w:tc>
        <w:tc>
          <w:tcPr>
            <w:tcW w:w="76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33969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10990</w:t>
            </w:r>
          </w:p>
        </w:tc>
        <w:tc>
          <w:tcPr>
            <w:tcW w:w="1279" w:type="dxa"/>
            <w:tcBorders>
              <w:top w:val="single" w:color="000000" w:sz="4" w:space="0"/>
              <w:left w:val="single" w:color="000000" w:sz="4" w:space="0"/>
              <w:bottom w:val="single" w:color="000000" w:sz="8" w:space="0"/>
              <w:right w:val="single" w:color="000000" w:sz="4" w:space="0"/>
            </w:tcBorders>
            <w:shd w:val="clear" w:color="auto" w:fill="auto"/>
            <w:vAlign w:val="center"/>
          </w:tcPr>
          <w:p w14:paraId="3BB0E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188277.96</w:t>
            </w:r>
          </w:p>
        </w:tc>
        <w:tc>
          <w:tcPr>
            <w:tcW w:w="108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AD956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100</w:t>
            </w:r>
          </w:p>
        </w:tc>
        <w:tc>
          <w:tcPr>
            <w:tcW w:w="846"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CC8BE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10999</w:t>
            </w:r>
          </w:p>
        </w:tc>
        <w:tc>
          <w:tcPr>
            <w:tcW w:w="115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B8FF8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color w:val="000000"/>
                <w:sz w:val="20"/>
                <w:szCs w:val="20"/>
                <w:u w:val="none"/>
                <w:lang w:val="en-US" w:eastAsia="zh-CN"/>
              </w:rPr>
              <w:t>188277.96</w:t>
            </w:r>
          </w:p>
        </w:tc>
        <w:tc>
          <w:tcPr>
            <w:tcW w:w="1117"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DBE1A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100</w:t>
            </w:r>
          </w:p>
        </w:tc>
        <w:tc>
          <w:tcPr>
            <w:tcW w:w="1164"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08879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-9</w:t>
            </w:r>
          </w:p>
        </w:tc>
      </w:tr>
    </w:tbl>
    <w:p w14:paraId="351533B3">
      <w:pPr>
        <w:spacing w:line="64" w:lineRule="auto"/>
        <w:rPr>
          <w:rFonts w:ascii="Arial"/>
          <w:sz w:val="2"/>
        </w:rPr>
      </w:pPr>
    </w:p>
    <w:p w14:paraId="01559298">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eastAsia" w:ascii="楷体_GB2312" w:hAnsi="楷体_GB2312" w:eastAsia="楷体_GB2312" w:cs="楷体_GB2312"/>
          <w:b w:val="0"/>
          <w:bCs w:val="0"/>
          <w:spacing w:val="5"/>
          <w:sz w:val="32"/>
          <w:szCs w:val="32"/>
        </w:rPr>
      </w:pPr>
      <w:r>
        <w:rPr>
          <w:rFonts w:hint="eastAsia" w:ascii="楷体_GB2312" w:hAnsi="楷体_GB2312" w:eastAsia="楷体_GB2312" w:cs="楷体_GB2312"/>
          <w:b w:val="0"/>
          <w:bCs w:val="0"/>
          <w:spacing w:val="5"/>
          <w:sz w:val="32"/>
          <w:szCs w:val="32"/>
        </w:rPr>
        <w:t>（二）股东情况</w:t>
      </w:r>
    </w:p>
    <w:p w14:paraId="1AA06DBF">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1.股东总数及构成</w:t>
      </w:r>
    </w:p>
    <w:p w14:paraId="45F95913">
      <w:pPr>
        <w:keepNext w:val="0"/>
        <w:keepLines w:val="0"/>
        <w:pageBreakBefore w:val="0"/>
        <w:widowControl/>
        <w:kinsoku/>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截至报告期末，本行股东总数为</w:t>
      </w:r>
      <w:r>
        <w:rPr>
          <w:rFonts w:hint="eastAsia" w:ascii="Times New Roman" w:hAnsi="Times New Roman" w:eastAsia="仿宋_GB2312" w:cs="Times New Roman"/>
          <w:sz w:val="32"/>
          <w:szCs w:val="32"/>
          <w:lang w:val="en-US" w:eastAsia="zh-CN"/>
        </w:rPr>
        <w:t>10990</w:t>
      </w:r>
      <w:r>
        <w:rPr>
          <w:rFonts w:hint="default" w:ascii="Times New Roman" w:hAnsi="Times New Roman" w:eastAsia="仿宋_GB2312" w:cs="Times New Roman"/>
          <w:sz w:val="32"/>
          <w:szCs w:val="32"/>
        </w:rPr>
        <w:t>户，股份总数为</w:t>
      </w:r>
      <w:r>
        <w:rPr>
          <w:rFonts w:hint="eastAsia" w:ascii="Times New Roman" w:hAnsi="Times New Roman" w:eastAsia="仿宋_GB2312" w:cs="Times New Roman"/>
          <w:sz w:val="32"/>
          <w:szCs w:val="32"/>
          <w:lang w:val="en-US" w:eastAsia="zh-CN"/>
        </w:rPr>
        <w:t>188277.9657</w:t>
      </w:r>
      <w:r>
        <w:rPr>
          <w:rFonts w:hint="default" w:ascii="Times New Roman" w:hAnsi="Times New Roman" w:eastAsia="仿宋_GB2312" w:cs="Times New Roman"/>
          <w:sz w:val="32"/>
          <w:szCs w:val="32"/>
        </w:rPr>
        <w:t>万股。其中，企业法人股东92户，持有股份88731.8329万股</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占总股本的47.13%；社会自然人股东</w:t>
      </w:r>
      <w:r>
        <w:rPr>
          <w:rFonts w:hint="eastAsia" w:ascii="Times New Roman" w:hAnsi="Times New Roman" w:eastAsia="仿宋_GB2312" w:cs="Times New Roman"/>
          <w:sz w:val="32"/>
          <w:szCs w:val="32"/>
          <w:lang w:val="en-US" w:eastAsia="zh-CN"/>
        </w:rPr>
        <w:t>10162</w:t>
      </w:r>
      <w:r>
        <w:rPr>
          <w:rFonts w:hint="default" w:ascii="Times New Roman" w:hAnsi="Times New Roman" w:eastAsia="仿宋_GB2312" w:cs="Times New Roman"/>
          <w:sz w:val="32"/>
          <w:szCs w:val="32"/>
        </w:rPr>
        <w:t>户，持有</w:t>
      </w:r>
      <w:r>
        <w:rPr>
          <w:rFonts w:hint="eastAsia" w:ascii="Times New Roman" w:hAnsi="Times New Roman" w:eastAsia="仿宋_GB2312" w:cs="Times New Roman"/>
          <w:sz w:val="32"/>
          <w:szCs w:val="32"/>
          <w:lang w:val="en-US" w:eastAsia="zh-CN"/>
        </w:rPr>
        <w:t>69319.3220</w:t>
      </w:r>
      <w:r>
        <w:rPr>
          <w:rFonts w:hint="default" w:ascii="Times New Roman" w:hAnsi="Times New Roman" w:eastAsia="仿宋_GB2312" w:cs="Times New Roman"/>
          <w:sz w:val="32"/>
          <w:szCs w:val="32"/>
        </w:rPr>
        <w:t>万股，占总股本的36.8</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%；职工股73</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户，持有股份</w:t>
      </w:r>
      <w:r>
        <w:rPr>
          <w:rFonts w:hint="eastAsia" w:ascii="Times New Roman" w:hAnsi="Times New Roman" w:eastAsia="仿宋_GB2312" w:cs="Times New Roman"/>
          <w:sz w:val="32"/>
          <w:szCs w:val="32"/>
          <w:lang w:val="en-US" w:eastAsia="zh-CN"/>
        </w:rPr>
        <w:t>30226.8108</w:t>
      </w:r>
      <w:r>
        <w:rPr>
          <w:rFonts w:hint="default" w:ascii="Times New Roman" w:hAnsi="Times New Roman" w:eastAsia="仿宋_GB2312" w:cs="Times New Roman"/>
          <w:sz w:val="32"/>
          <w:szCs w:val="32"/>
        </w:rPr>
        <w:t>万股，占总股本的16.0</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p>
    <w:p w14:paraId="778388BE">
      <w:pPr>
        <w:keepNext w:val="0"/>
        <w:keepLines w:val="0"/>
        <w:pageBreakBefore w:val="0"/>
        <w:widowControl/>
        <w:numPr>
          <w:ilvl w:val="0"/>
          <w:numId w:val="2"/>
        </w:numPr>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报告期内股权变更情况</w:t>
      </w:r>
    </w:p>
    <w:p w14:paraId="00FDED8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本行严格按照监管规定、公司章程及股权管理办法规范股权转让行为。报告期内，本行共发生股权转让</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笔，共计</w:t>
      </w:r>
      <w:r>
        <w:rPr>
          <w:rFonts w:hint="eastAsia" w:ascii="Times New Roman" w:hAnsi="Times New Roman" w:eastAsia="仿宋_GB2312" w:cs="Times New Roman"/>
          <w:sz w:val="32"/>
          <w:szCs w:val="32"/>
          <w:lang w:val="en-US" w:eastAsia="zh-CN"/>
        </w:rPr>
        <w:t>28.64</w:t>
      </w:r>
      <w:r>
        <w:rPr>
          <w:rFonts w:hint="default" w:ascii="Times New Roman" w:hAnsi="Times New Roman" w:eastAsia="仿宋_GB2312" w:cs="Times New Roman"/>
          <w:sz w:val="32"/>
          <w:szCs w:val="32"/>
        </w:rPr>
        <w:t>万股。</w:t>
      </w:r>
    </w:p>
    <w:p w14:paraId="240FF62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报告期末，本行被司法冻结股份为</w:t>
      </w:r>
      <w:r>
        <w:rPr>
          <w:rFonts w:hint="eastAsia" w:ascii="Times New Roman" w:hAnsi="Times New Roman" w:eastAsia="仿宋_GB2312" w:cs="Times New Roman"/>
          <w:sz w:val="32"/>
          <w:szCs w:val="32"/>
          <w:lang w:val="en-US" w:eastAsia="zh-CN"/>
        </w:rPr>
        <w:t>251.79</w:t>
      </w:r>
      <w:r>
        <w:rPr>
          <w:rFonts w:hint="default" w:ascii="Times New Roman" w:hAnsi="Times New Roman" w:eastAsia="仿宋_GB2312" w:cs="Times New Roman"/>
          <w:sz w:val="32"/>
          <w:szCs w:val="32"/>
        </w:rPr>
        <w:t>万股，占总股本的</w:t>
      </w:r>
      <w:r>
        <w:rPr>
          <w:rFonts w:hint="eastAsia" w:ascii="Times New Roman" w:hAnsi="Times New Roman" w:eastAsia="仿宋_GB2312" w:cs="Times New Roman"/>
          <w:sz w:val="32"/>
          <w:szCs w:val="32"/>
          <w:lang w:val="en-US" w:eastAsia="zh-CN"/>
        </w:rPr>
        <w:t>0.13</w:t>
      </w:r>
      <w:r>
        <w:rPr>
          <w:rFonts w:hint="default" w:ascii="Times New Roman" w:hAnsi="Times New Roman" w:eastAsia="仿宋_GB2312" w:cs="Times New Roman"/>
          <w:sz w:val="32"/>
          <w:szCs w:val="32"/>
        </w:rPr>
        <w:t>%；其中，质押股份数额为</w:t>
      </w:r>
      <w:r>
        <w:rPr>
          <w:rFonts w:hint="eastAsia" w:ascii="Times New Roman" w:hAnsi="Times New Roman" w:eastAsia="仿宋_GB2312" w:cs="Times New Roman"/>
          <w:sz w:val="32"/>
          <w:szCs w:val="32"/>
          <w:lang w:val="en-US" w:eastAsia="zh-CN"/>
        </w:rPr>
        <w:t>11240.1349</w:t>
      </w:r>
      <w:r>
        <w:rPr>
          <w:rFonts w:hint="default" w:ascii="Times New Roman" w:hAnsi="Times New Roman" w:eastAsia="仿宋_GB2312" w:cs="Times New Roman"/>
          <w:sz w:val="32"/>
          <w:szCs w:val="32"/>
        </w:rPr>
        <w:t>万股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占总股本的5.</w:t>
      </w:r>
      <w:r>
        <w:rPr>
          <w:rFonts w:hint="eastAsia" w:ascii="Times New Roman" w:hAnsi="Times New Roman" w:eastAsia="仿宋_GB2312" w:cs="Times New Roman"/>
          <w:sz w:val="32"/>
          <w:szCs w:val="32"/>
          <w:lang w:val="en-US" w:eastAsia="zh-CN"/>
        </w:rPr>
        <w:t>97</w:t>
      </w:r>
      <w:r>
        <w:rPr>
          <w:rFonts w:hint="default" w:ascii="Times New Roman" w:hAnsi="Times New Roman" w:eastAsia="仿宋_GB2312" w:cs="Times New Roman"/>
          <w:sz w:val="32"/>
          <w:szCs w:val="32"/>
        </w:rPr>
        <w:t>%。被质押股权未涉及司法冻结或拍卖情况。不存在股东将所持本行股份质押在本行的情形。</w:t>
      </w:r>
    </w:p>
    <w:p w14:paraId="45BAACD7">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jc w:val="both"/>
        <w:textAlignment w:val="baseline"/>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3.报告期末前十大股东持股情况</w:t>
      </w:r>
    </w:p>
    <w:p w14:paraId="34193014">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pacing w:val="15"/>
          <w:sz w:val="32"/>
          <w:szCs w:val="32"/>
        </w:rPr>
      </w:pPr>
      <w:r>
        <w:rPr>
          <w:rFonts w:hint="eastAsia" w:ascii="Times New Roman" w:hAnsi="Times New Roman" w:eastAsia="仿宋_GB2312" w:cs="Times New Roman"/>
          <w:sz w:val="32"/>
          <w:szCs w:val="32"/>
          <w:lang w:val="en-US" w:eastAsia="zh-CN"/>
        </w:rPr>
        <w:t>报告期内，原法人股东“浙江省财务开发有限责任公司”更名为“浙江省财开集团有限公司”。</w:t>
      </w:r>
      <w:r>
        <w:rPr>
          <w:rFonts w:hint="default" w:ascii="Times New Roman" w:hAnsi="Times New Roman" w:eastAsia="仿宋_GB2312" w:cs="Times New Roman"/>
          <w:sz w:val="32"/>
          <w:szCs w:val="32"/>
        </w:rPr>
        <w:t>报告期末，前十大股东持股情况如下：</w:t>
      </w:r>
    </w:p>
    <w:tbl>
      <w:tblPr>
        <w:tblStyle w:val="6"/>
        <w:tblW w:w="89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0"/>
        <w:gridCol w:w="2837"/>
        <w:gridCol w:w="1260"/>
        <w:gridCol w:w="1170"/>
        <w:gridCol w:w="1395"/>
        <w:gridCol w:w="1578"/>
      </w:tblGrid>
      <w:tr w14:paraId="20C31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20" w:type="dxa"/>
            <w:tcBorders>
              <w:top w:val="single" w:color="000000" w:sz="8" w:space="0"/>
              <w:left w:val="single" w:color="000000" w:sz="8" w:space="0"/>
              <w:bottom w:val="single" w:color="000000" w:sz="4" w:space="0"/>
              <w:right w:val="single" w:color="000000" w:sz="4" w:space="0"/>
            </w:tcBorders>
            <w:shd w:val="clear" w:color="auto" w:fill="0070C0"/>
            <w:vAlign w:val="center"/>
          </w:tcPr>
          <w:p w14:paraId="3CC9E77B">
            <w:pPr>
              <w:keepNext w:val="0"/>
              <w:keepLines w:val="0"/>
              <w:widowControl/>
              <w:suppressLineNumbers w:val="0"/>
              <w:jc w:val="left"/>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持股</w:t>
            </w:r>
            <w:r>
              <w:rPr>
                <w:rFonts w:hint="default" w:ascii="Times New Roman" w:hAnsi="Times New Roman" w:eastAsia="宋体" w:cs="Times New Roman"/>
                <w:b/>
                <w:bCs/>
                <w:snapToGrid w:val="0"/>
                <w:color w:val="FFFFFF"/>
                <w:spacing w:val="7"/>
                <w:kern w:val="0"/>
                <w:sz w:val="20"/>
                <w:szCs w:val="20"/>
                <w:lang w:val="en-US" w:eastAsia="zh-CN" w:bidi="ar-SA"/>
              </w:rPr>
              <w:br w:type="textWrapping"/>
            </w:r>
            <w:r>
              <w:rPr>
                <w:rFonts w:hint="default" w:ascii="Times New Roman" w:hAnsi="Times New Roman" w:eastAsia="宋体" w:cs="Times New Roman"/>
                <w:b/>
                <w:bCs/>
                <w:snapToGrid w:val="0"/>
                <w:color w:val="FFFFFF"/>
                <w:spacing w:val="7"/>
                <w:kern w:val="0"/>
                <w:sz w:val="20"/>
                <w:szCs w:val="20"/>
                <w:lang w:val="en-US" w:eastAsia="zh-CN" w:bidi="ar-SA"/>
              </w:rPr>
              <w:t>排名</w:t>
            </w:r>
          </w:p>
        </w:tc>
        <w:tc>
          <w:tcPr>
            <w:tcW w:w="2837"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03005356">
            <w:pPr>
              <w:keepNext w:val="0"/>
              <w:keepLines w:val="0"/>
              <w:widowControl/>
              <w:suppressLineNumbers w:val="0"/>
              <w:ind w:firstLine="644" w:firstLineChars="300"/>
              <w:jc w:val="left"/>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股东名称</w:t>
            </w:r>
          </w:p>
        </w:tc>
        <w:tc>
          <w:tcPr>
            <w:tcW w:w="126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5A6565B3">
            <w:pPr>
              <w:keepNext w:val="0"/>
              <w:keepLines w:val="0"/>
              <w:widowControl/>
              <w:suppressLineNumbers w:val="0"/>
              <w:jc w:val="left"/>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 xml:space="preserve"> 持股数量  （万股）</w:t>
            </w:r>
          </w:p>
        </w:tc>
        <w:tc>
          <w:tcPr>
            <w:tcW w:w="117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27A601FC">
            <w:pPr>
              <w:keepNext w:val="0"/>
              <w:keepLines w:val="0"/>
              <w:widowControl/>
              <w:suppressLineNumbers w:val="0"/>
              <w:jc w:val="left"/>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持股比例</w:t>
            </w:r>
            <w:r>
              <w:rPr>
                <w:rFonts w:hint="default" w:ascii="Times New Roman" w:hAnsi="Times New Roman" w:eastAsia="宋体" w:cs="Times New Roman"/>
                <w:b/>
                <w:bCs/>
                <w:snapToGrid w:val="0"/>
                <w:color w:val="FFFFFF"/>
                <w:spacing w:val="7"/>
                <w:kern w:val="0"/>
                <w:sz w:val="20"/>
                <w:szCs w:val="20"/>
                <w:lang w:val="en-US" w:eastAsia="zh-CN" w:bidi="ar-SA"/>
              </w:rPr>
              <w:br w:type="textWrapping"/>
            </w:r>
            <w:r>
              <w:rPr>
                <w:rFonts w:hint="default" w:ascii="Times New Roman" w:hAnsi="Times New Roman" w:eastAsia="宋体" w:cs="Times New Roman"/>
                <w:b/>
                <w:bCs/>
                <w:snapToGrid w:val="0"/>
                <w:color w:val="FFFFFF"/>
                <w:spacing w:val="7"/>
                <w:kern w:val="0"/>
                <w:sz w:val="20"/>
                <w:szCs w:val="20"/>
                <w:lang w:val="en-US" w:eastAsia="zh-CN" w:bidi="ar-SA"/>
              </w:rPr>
              <w:t>（%）</w:t>
            </w:r>
          </w:p>
        </w:tc>
        <w:tc>
          <w:tcPr>
            <w:tcW w:w="139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6F52DA98">
            <w:pPr>
              <w:keepNext w:val="0"/>
              <w:keepLines w:val="0"/>
              <w:widowControl/>
              <w:suppressLineNumbers w:val="0"/>
              <w:jc w:val="left"/>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报告期内增减（万股）</w:t>
            </w:r>
          </w:p>
        </w:tc>
        <w:tc>
          <w:tcPr>
            <w:tcW w:w="1578" w:type="dxa"/>
            <w:tcBorders>
              <w:top w:val="single" w:color="000000" w:sz="8" w:space="0"/>
              <w:left w:val="single" w:color="000000" w:sz="4" w:space="0"/>
              <w:bottom w:val="single" w:color="000000" w:sz="4" w:space="0"/>
              <w:right w:val="single" w:color="000000" w:sz="8" w:space="0"/>
            </w:tcBorders>
            <w:shd w:val="clear" w:color="auto" w:fill="0070C0"/>
            <w:vAlign w:val="center"/>
          </w:tcPr>
          <w:p w14:paraId="053753A6">
            <w:pPr>
              <w:keepNext w:val="0"/>
              <w:keepLines w:val="0"/>
              <w:widowControl/>
              <w:suppressLineNumbers w:val="0"/>
              <w:jc w:val="left"/>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质押或冻结情况（万股）</w:t>
            </w:r>
          </w:p>
        </w:tc>
      </w:tr>
      <w:tr w14:paraId="407FF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04F4F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58D4">
            <w:pPr>
              <w:keepNext w:val="0"/>
              <w:keepLines w:val="0"/>
              <w:widowControl/>
              <w:suppressLineNumbers w:val="0"/>
              <w:jc w:val="both"/>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snapToGrid w:val="0"/>
                <w:color w:val="FF0000"/>
                <w:kern w:val="0"/>
                <w:sz w:val="20"/>
                <w:szCs w:val="20"/>
                <w:u w:val="none"/>
                <w:lang w:val="en-US" w:eastAsia="zh-CN" w:bidi="ar"/>
              </w:rPr>
              <w:t>浙江省财开集团有限公司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CD7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3D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C52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7DFC5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无</w:t>
            </w:r>
          </w:p>
        </w:tc>
      </w:tr>
      <w:tr w14:paraId="5AFB5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433FCD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74C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义乌市国有资本运营有限公司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D4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1B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1D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AB12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无</w:t>
            </w:r>
          </w:p>
        </w:tc>
      </w:tr>
      <w:tr w14:paraId="02BF7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02C96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D6A1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金绣集团有限公司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7F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ED6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FE4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38FEA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无</w:t>
            </w:r>
          </w:p>
        </w:tc>
      </w:tr>
      <w:tr w14:paraId="2FF3F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91359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A4F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 xml:space="preserve">真爱集团有限公司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33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FB7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80B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5AC20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质押</w:t>
            </w:r>
            <w:r>
              <w:rPr>
                <w:rStyle w:val="13"/>
                <w:rFonts w:hint="eastAsia" w:ascii="Times New Roman" w:hAnsi="Times New Roman" w:cs="Times New Roman"/>
                <w:snapToGrid w:val="0"/>
                <w:color w:val="000000"/>
                <w:lang w:val="en-US" w:eastAsia="zh-CN" w:bidi="ar"/>
              </w:rPr>
              <w:t>42</w:t>
            </w:r>
            <w:r>
              <w:rPr>
                <w:rStyle w:val="13"/>
                <w:rFonts w:hint="default" w:ascii="Times New Roman" w:hAnsi="Times New Roman" w:cs="Times New Roman"/>
                <w:snapToGrid w:val="0"/>
                <w:color w:val="000000"/>
                <w:lang w:val="en-US" w:eastAsia="zh-CN" w:bidi="ar"/>
              </w:rPr>
              <w:t>00</w:t>
            </w:r>
          </w:p>
        </w:tc>
      </w:tr>
      <w:tr w14:paraId="6C376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95A6C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7D2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 xml:space="preserve">华统集团有限公司 </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1D2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D3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7A9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F94F5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highlight w:val="none"/>
                <w:lang w:val="en-US" w:eastAsia="zh-CN" w:bidi="ar"/>
              </w:rPr>
              <w:t>质押</w:t>
            </w:r>
            <w:r>
              <w:rPr>
                <w:rStyle w:val="13"/>
                <w:rFonts w:hint="eastAsia" w:ascii="Times New Roman" w:hAnsi="Times New Roman" w:cs="Times New Roman"/>
                <w:snapToGrid w:val="0"/>
                <w:color w:val="000000"/>
                <w:highlight w:val="none"/>
                <w:lang w:val="en-US" w:eastAsia="zh-CN" w:bidi="ar"/>
              </w:rPr>
              <w:t>47</w:t>
            </w:r>
            <w:r>
              <w:rPr>
                <w:rStyle w:val="13"/>
                <w:rFonts w:hint="default" w:ascii="Times New Roman" w:hAnsi="Times New Roman" w:cs="Times New Roman"/>
                <w:snapToGrid w:val="0"/>
                <w:color w:val="000000"/>
                <w:highlight w:val="none"/>
                <w:lang w:val="en-US" w:eastAsia="zh-CN" w:bidi="ar"/>
              </w:rPr>
              <w:t>00</w:t>
            </w:r>
          </w:p>
        </w:tc>
      </w:tr>
      <w:tr w14:paraId="02466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8F682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6</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494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highlight w:val="none"/>
                <w:lang w:val="en-US" w:eastAsia="zh-CN" w:bidi="ar"/>
              </w:rPr>
              <w:t>浙江港派服饰有限公司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E9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3925.27</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4E8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2.22</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77F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B36DE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Style w:val="13"/>
                <w:rFonts w:hint="eastAsia" w:ascii="Times New Roman" w:hAnsi="Times New Roman" w:cs="Times New Roman"/>
                <w:snapToGrid w:val="0"/>
                <w:color w:val="000000"/>
                <w:highlight w:val="none"/>
                <w:lang w:val="en-US" w:eastAsia="zh-CN" w:bidi="ar"/>
              </w:rPr>
              <w:t>质押1200</w:t>
            </w:r>
          </w:p>
        </w:tc>
      </w:tr>
      <w:tr w14:paraId="7D7B0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E484D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7</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5DD9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浙江和信投资管理有限公司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CBD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3565.60</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F9F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1.91</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64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3078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无</w:t>
            </w:r>
          </w:p>
        </w:tc>
      </w:tr>
      <w:tr w14:paraId="6DDA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3EB7D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8</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D6E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绍兴中翔建设有限公司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A1D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1099.46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7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0.58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E4D9">
            <w:pPr>
              <w:jc w:val="center"/>
              <w:rPr>
                <w:rFonts w:hint="default" w:ascii="Times New Roman" w:hAnsi="Times New Roman" w:eastAsia="宋体" w:cs="Times New Roman"/>
                <w:i w:val="0"/>
                <w:iCs w:val="0"/>
                <w:color w:val="000000"/>
                <w:sz w:val="20"/>
                <w:szCs w:val="20"/>
                <w:u w:val="none"/>
              </w:rPr>
            </w:pP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42FB3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无</w:t>
            </w:r>
          </w:p>
        </w:tc>
      </w:tr>
      <w:tr w14:paraId="50521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6CF75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9</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9EE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highlight w:val="none"/>
                <w:lang w:val="en-US" w:eastAsia="zh-CN" w:bidi="ar"/>
              </w:rPr>
              <w:t>义乌市骁马针织有限公司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8EA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1068.95</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741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0.57</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D92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2ECA3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color w:val="000000"/>
                <w:sz w:val="20"/>
                <w:szCs w:val="20"/>
                <w:u w:val="none"/>
                <w:lang w:eastAsia="zh-CN"/>
              </w:rPr>
              <w:t>质押</w:t>
            </w:r>
            <w:r>
              <w:rPr>
                <w:rFonts w:hint="eastAsia" w:ascii="Times New Roman" w:hAnsi="Times New Roman" w:eastAsia="宋体" w:cs="Times New Roman"/>
                <w:i w:val="0"/>
                <w:iCs w:val="0"/>
                <w:color w:val="000000"/>
                <w:sz w:val="20"/>
                <w:szCs w:val="20"/>
                <w:u w:val="none"/>
                <w:lang w:val="en-US" w:eastAsia="zh-CN"/>
              </w:rPr>
              <w:t>550</w:t>
            </w:r>
          </w:p>
        </w:tc>
      </w:tr>
      <w:tr w14:paraId="72A03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653D4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10</w:t>
            </w:r>
          </w:p>
        </w:tc>
        <w:tc>
          <w:tcPr>
            <w:tcW w:w="2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F0F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浙江年年红实业有限公司</w:t>
            </w: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96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714.06</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C9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0.38</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73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17BCA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无</w:t>
            </w:r>
          </w:p>
        </w:tc>
      </w:tr>
      <w:tr w14:paraId="51795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20" w:type="dxa"/>
            <w:tcBorders>
              <w:top w:val="single" w:color="000000" w:sz="4" w:space="0"/>
              <w:left w:val="single" w:color="000000" w:sz="8" w:space="0"/>
              <w:bottom w:val="single" w:color="000000" w:sz="8" w:space="0"/>
              <w:right w:val="single" w:color="000000" w:sz="4" w:space="0"/>
            </w:tcBorders>
            <w:shd w:val="clear" w:color="auto" w:fill="auto"/>
            <w:vAlign w:val="center"/>
          </w:tcPr>
          <w:p w14:paraId="0F3314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10</w:t>
            </w:r>
          </w:p>
        </w:tc>
        <w:tc>
          <w:tcPr>
            <w:tcW w:w="2837"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AD2E54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浙江浩翔光电科技有限公司</w:t>
            </w:r>
          </w:p>
        </w:tc>
        <w:tc>
          <w:tcPr>
            <w:tcW w:w="126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2C41F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714.06</w:t>
            </w:r>
          </w:p>
        </w:tc>
        <w:tc>
          <w:tcPr>
            <w:tcW w:w="117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60EF4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0.38</w:t>
            </w:r>
          </w:p>
        </w:tc>
        <w:tc>
          <w:tcPr>
            <w:tcW w:w="139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08133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w:t>
            </w:r>
          </w:p>
        </w:tc>
        <w:tc>
          <w:tcPr>
            <w:tcW w:w="1578" w:type="dxa"/>
            <w:tcBorders>
              <w:top w:val="single" w:color="000000" w:sz="4" w:space="0"/>
              <w:left w:val="single" w:color="000000" w:sz="4" w:space="0"/>
              <w:bottom w:val="single" w:color="000000" w:sz="8" w:space="0"/>
              <w:right w:val="single" w:color="000000" w:sz="8" w:space="0"/>
            </w:tcBorders>
            <w:shd w:val="clear" w:color="auto" w:fill="auto"/>
            <w:vAlign w:val="center"/>
          </w:tcPr>
          <w:p w14:paraId="3CD37D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13"/>
                <w:rFonts w:hint="default" w:ascii="Times New Roman" w:hAnsi="Times New Roman" w:cs="Times New Roman"/>
                <w:snapToGrid w:val="0"/>
                <w:color w:val="000000"/>
                <w:lang w:val="en-US" w:eastAsia="zh-CN" w:bidi="ar"/>
              </w:rPr>
              <w:t>无</w:t>
            </w:r>
          </w:p>
        </w:tc>
      </w:tr>
    </w:tbl>
    <w:p w14:paraId="7B3C7AA4">
      <w:pPr>
        <w:spacing w:line="63" w:lineRule="auto"/>
        <w:rPr>
          <w:rFonts w:ascii="Arial"/>
          <w:sz w:val="2"/>
        </w:rPr>
      </w:pPr>
    </w:p>
    <w:p w14:paraId="18E2E6B4">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default" w:ascii="楷体_GB2312" w:hAnsi="楷体_GB2312" w:eastAsia="楷体_GB2312" w:cs="楷体_GB2312"/>
          <w:b w:val="0"/>
          <w:bCs w:val="0"/>
          <w:spacing w:val="5"/>
          <w:sz w:val="32"/>
          <w:szCs w:val="32"/>
        </w:rPr>
      </w:pPr>
      <w:r>
        <w:rPr>
          <w:rFonts w:hint="default" w:ascii="楷体_GB2312" w:hAnsi="楷体_GB2312" w:eastAsia="楷体_GB2312" w:cs="楷体_GB2312"/>
          <w:b w:val="0"/>
          <w:bCs w:val="0"/>
          <w:spacing w:val="5"/>
          <w:sz w:val="32"/>
          <w:szCs w:val="32"/>
        </w:rPr>
        <w:t>（三）报告期末主要股东情况</w:t>
      </w:r>
    </w:p>
    <w:p w14:paraId="70344F7C">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95" w:firstLineChars="200"/>
        <w:textAlignment w:val="baseline"/>
        <w:outlineLvl w:val="1"/>
        <w:rPr>
          <w:rFonts w:hint="default" w:ascii="Times New Roman" w:hAnsi="Times New Roman" w:eastAsia="仿宋_GB2312" w:cs="Times New Roman"/>
          <w:b/>
          <w:bCs/>
          <w:spacing w:val="13"/>
          <w:sz w:val="32"/>
          <w:szCs w:val="32"/>
        </w:rPr>
      </w:pPr>
      <w:r>
        <w:rPr>
          <w:rFonts w:hint="default" w:ascii="Times New Roman" w:hAnsi="Times New Roman" w:eastAsia="仿宋_GB2312" w:cs="Times New Roman"/>
          <w:b/>
          <w:bCs/>
          <w:spacing w:val="13"/>
          <w:sz w:val="32"/>
          <w:szCs w:val="32"/>
        </w:rPr>
        <w:t>1.持股情况</w:t>
      </w:r>
    </w:p>
    <w:p w14:paraId="7561F708">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92" w:firstLineChars="200"/>
        <w:textAlignment w:val="baseline"/>
        <w:rPr>
          <w:rFonts w:hint="default" w:ascii="Times New Roman" w:hAnsi="Times New Roman" w:eastAsia="仿宋_GB2312" w:cs="Times New Roman"/>
          <w:snapToGrid w:val="0"/>
          <w:color w:val="auto"/>
          <w:spacing w:val="13"/>
          <w:kern w:val="0"/>
          <w:sz w:val="32"/>
          <w:szCs w:val="32"/>
          <w:lang w:val="en-US" w:eastAsia="zh-CN" w:bidi="ar-SA"/>
        </w:rPr>
      </w:pPr>
      <w:r>
        <w:rPr>
          <w:rFonts w:hint="default" w:ascii="Times New Roman" w:hAnsi="Times New Roman" w:eastAsia="仿宋_GB2312" w:cs="Times New Roman"/>
          <w:snapToGrid w:val="0"/>
          <w:color w:val="auto"/>
          <w:spacing w:val="13"/>
          <w:kern w:val="0"/>
          <w:sz w:val="32"/>
          <w:szCs w:val="32"/>
          <w:lang w:val="en-US" w:eastAsia="zh-CN" w:bidi="ar-SA"/>
        </w:rPr>
        <w:t>报告期末，本行共有主要股东 1</w:t>
      </w:r>
      <w:r>
        <w:rPr>
          <w:rFonts w:hint="eastAsia" w:ascii="Times New Roman" w:hAnsi="Times New Roman" w:eastAsia="仿宋_GB2312" w:cs="Times New Roman"/>
          <w:snapToGrid w:val="0"/>
          <w:color w:val="auto"/>
          <w:spacing w:val="13"/>
          <w:kern w:val="0"/>
          <w:sz w:val="32"/>
          <w:szCs w:val="32"/>
          <w:lang w:val="en-US" w:eastAsia="zh-CN" w:bidi="ar-SA"/>
        </w:rPr>
        <w:t>3</w:t>
      </w:r>
      <w:r>
        <w:rPr>
          <w:rFonts w:hint="default" w:ascii="Times New Roman" w:hAnsi="Times New Roman" w:eastAsia="仿宋_GB2312" w:cs="Times New Roman"/>
          <w:snapToGrid w:val="0"/>
          <w:color w:val="auto"/>
          <w:spacing w:val="13"/>
          <w:kern w:val="0"/>
          <w:sz w:val="32"/>
          <w:szCs w:val="32"/>
          <w:lang w:val="en-US" w:eastAsia="zh-CN" w:bidi="ar-SA"/>
        </w:rPr>
        <w:t xml:space="preserve">户，其中企业法人主要股东 </w:t>
      </w:r>
      <w:r>
        <w:rPr>
          <w:rFonts w:hint="eastAsia" w:ascii="Times New Roman" w:hAnsi="Times New Roman" w:eastAsia="仿宋_GB2312" w:cs="Times New Roman"/>
          <w:snapToGrid w:val="0"/>
          <w:color w:val="auto"/>
          <w:spacing w:val="13"/>
          <w:kern w:val="0"/>
          <w:sz w:val="32"/>
          <w:szCs w:val="32"/>
          <w:lang w:val="en-US" w:eastAsia="zh-CN" w:bidi="ar-SA"/>
        </w:rPr>
        <w:t>6</w:t>
      </w:r>
      <w:r>
        <w:rPr>
          <w:rFonts w:hint="default" w:ascii="Times New Roman" w:hAnsi="Times New Roman" w:eastAsia="仿宋_GB2312" w:cs="Times New Roman"/>
          <w:snapToGrid w:val="0"/>
          <w:color w:val="auto"/>
          <w:spacing w:val="13"/>
          <w:kern w:val="0"/>
          <w:sz w:val="32"/>
          <w:szCs w:val="32"/>
          <w:lang w:val="en-US" w:eastAsia="zh-CN" w:bidi="ar-SA"/>
        </w:rPr>
        <w:t xml:space="preserve"> 户，自然人</w:t>
      </w:r>
      <w:bookmarkStart w:id="0" w:name="_GoBack"/>
      <w:bookmarkEnd w:id="0"/>
      <w:r>
        <w:rPr>
          <w:rFonts w:hint="default" w:ascii="Times New Roman" w:hAnsi="Times New Roman" w:eastAsia="仿宋_GB2312" w:cs="Times New Roman"/>
          <w:snapToGrid w:val="0"/>
          <w:color w:val="auto"/>
          <w:spacing w:val="13"/>
          <w:kern w:val="0"/>
          <w:sz w:val="32"/>
          <w:szCs w:val="32"/>
          <w:lang w:val="en-US" w:eastAsia="zh-CN" w:bidi="ar-SA"/>
        </w:rPr>
        <w:t>主要股东</w:t>
      </w:r>
      <w:r>
        <w:rPr>
          <w:rFonts w:hint="eastAsia" w:ascii="Times New Roman" w:hAnsi="Times New Roman" w:eastAsia="仿宋_GB2312" w:cs="Times New Roman"/>
          <w:snapToGrid w:val="0"/>
          <w:color w:val="auto"/>
          <w:spacing w:val="13"/>
          <w:kern w:val="0"/>
          <w:sz w:val="32"/>
          <w:szCs w:val="32"/>
          <w:lang w:val="en-US" w:eastAsia="zh-CN" w:bidi="ar-SA"/>
        </w:rPr>
        <w:t>7</w:t>
      </w:r>
      <w:r>
        <w:rPr>
          <w:rFonts w:hint="default" w:ascii="Times New Roman" w:hAnsi="Times New Roman" w:eastAsia="仿宋_GB2312" w:cs="Times New Roman"/>
          <w:snapToGrid w:val="0"/>
          <w:color w:val="auto"/>
          <w:spacing w:val="13"/>
          <w:kern w:val="0"/>
          <w:sz w:val="32"/>
          <w:szCs w:val="32"/>
          <w:lang w:val="en-US" w:eastAsia="zh-CN" w:bidi="ar-SA"/>
        </w:rPr>
        <w:t>户，持股情况如下：</w:t>
      </w:r>
    </w:p>
    <w:tbl>
      <w:tblPr>
        <w:tblStyle w:val="6"/>
        <w:tblW w:w="89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90"/>
        <w:gridCol w:w="1800"/>
        <w:gridCol w:w="1185"/>
        <w:gridCol w:w="2100"/>
        <w:gridCol w:w="2000"/>
      </w:tblGrid>
      <w:tr w14:paraId="31369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890" w:type="dxa"/>
            <w:tcBorders>
              <w:top w:val="single" w:color="000000" w:sz="8" w:space="0"/>
              <w:left w:val="single" w:color="000000" w:sz="8" w:space="0"/>
              <w:bottom w:val="single" w:color="000000" w:sz="4" w:space="0"/>
              <w:right w:val="single" w:color="000000" w:sz="4" w:space="0"/>
            </w:tcBorders>
            <w:shd w:val="clear" w:color="auto" w:fill="0070C0"/>
            <w:vAlign w:val="center"/>
          </w:tcPr>
          <w:p w14:paraId="56B23CB6">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股东名称</w:t>
            </w:r>
          </w:p>
        </w:tc>
        <w:tc>
          <w:tcPr>
            <w:tcW w:w="180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6CA2D8FA">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与本行关联关系</w:t>
            </w:r>
          </w:p>
        </w:tc>
        <w:tc>
          <w:tcPr>
            <w:tcW w:w="118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54C21DA6">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股权余额（万股）</w:t>
            </w:r>
          </w:p>
        </w:tc>
        <w:tc>
          <w:tcPr>
            <w:tcW w:w="210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7E2D39D2">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关联方、一致行动人股权余额（万股）</w:t>
            </w:r>
          </w:p>
        </w:tc>
        <w:tc>
          <w:tcPr>
            <w:tcW w:w="2000" w:type="dxa"/>
            <w:tcBorders>
              <w:top w:val="single" w:color="000000" w:sz="8" w:space="0"/>
              <w:left w:val="single" w:color="000000" w:sz="4" w:space="0"/>
              <w:bottom w:val="single" w:color="000000" w:sz="4" w:space="0"/>
              <w:right w:val="single" w:color="000000" w:sz="8" w:space="0"/>
            </w:tcBorders>
            <w:shd w:val="clear" w:color="auto" w:fill="0070C0"/>
            <w:vAlign w:val="center"/>
          </w:tcPr>
          <w:p w14:paraId="45B5E086">
            <w:pPr>
              <w:keepNext w:val="0"/>
              <w:keepLines w:val="0"/>
              <w:widowControl/>
              <w:suppressLineNumbers w:val="0"/>
              <w:jc w:val="center"/>
              <w:textAlignment w:val="center"/>
              <w:rPr>
                <w:rFonts w:hint="default" w:ascii="Times New Roman" w:hAnsi="Times New Roman" w:eastAsia="宋体" w:cs="Times New Roman"/>
                <w:b/>
                <w:bCs/>
                <w:snapToGrid w:val="0"/>
                <w:color w:val="FFFFFF"/>
                <w:spacing w:val="7"/>
                <w:kern w:val="0"/>
                <w:sz w:val="20"/>
                <w:szCs w:val="20"/>
                <w:lang w:val="en-US" w:eastAsia="zh-CN" w:bidi="ar-SA"/>
              </w:rPr>
            </w:pPr>
            <w:r>
              <w:rPr>
                <w:rFonts w:hint="default" w:ascii="Times New Roman" w:hAnsi="Times New Roman" w:eastAsia="宋体" w:cs="Times New Roman"/>
                <w:b/>
                <w:bCs/>
                <w:snapToGrid w:val="0"/>
                <w:color w:val="FFFFFF"/>
                <w:spacing w:val="7"/>
                <w:kern w:val="0"/>
                <w:sz w:val="20"/>
                <w:szCs w:val="20"/>
                <w:lang w:val="en-US" w:eastAsia="zh-CN" w:bidi="ar-SA"/>
              </w:rPr>
              <w:t>合计持股比例</w:t>
            </w:r>
          </w:p>
        </w:tc>
      </w:tr>
      <w:tr w14:paraId="57078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9857D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金绣集团有限公司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511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派驻董事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C85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5F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76.24</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9131C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5.04</w:t>
            </w:r>
          </w:p>
        </w:tc>
      </w:tr>
      <w:tr w14:paraId="0E1CF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AE827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真爱集团有限公司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BDA7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派驻董事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E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CAC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30.21</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409EB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5.02</w:t>
            </w:r>
          </w:p>
        </w:tc>
      </w:tr>
      <w:tr w14:paraId="4A665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1BBF9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华统集团有限公司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280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派驻董事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59B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2AC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lang w:val="en-US" w:eastAsia="zh-CN"/>
              </w:rPr>
            </w:pPr>
            <w:r>
              <w:rPr>
                <w:rFonts w:hint="eastAsia" w:ascii="Times New Roman" w:hAnsi="Times New Roman" w:eastAsia="宋体" w:cs="Times New Roman"/>
                <w:i w:val="0"/>
                <w:iCs w:val="0"/>
                <w:color w:val="000000"/>
                <w:sz w:val="20"/>
                <w:szCs w:val="20"/>
                <w:highlight w:val="none"/>
                <w:u w:val="none"/>
                <w:lang w:val="en-US" w:eastAsia="zh-CN"/>
              </w:rPr>
              <w:t>12.28</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E40FF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5.01</w:t>
            </w:r>
          </w:p>
        </w:tc>
      </w:tr>
      <w:tr w14:paraId="11F4F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A85BA13">
            <w:pPr>
              <w:keepNext w:val="0"/>
              <w:keepLines w:val="0"/>
              <w:widowControl/>
              <w:suppressLineNumbers w:val="0"/>
              <w:jc w:val="center"/>
              <w:textAlignment w:val="center"/>
              <w:rPr>
                <w:rFonts w:hint="eastAsia" w:ascii="宋体" w:hAnsi="宋体" w:eastAsia="宋体" w:cs="宋体"/>
                <w:i w:val="0"/>
                <w:iCs w:val="0"/>
                <w:snapToGrid w:val="0"/>
                <w:color w:val="FF0000"/>
                <w:kern w:val="0"/>
                <w:sz w:val="20"/>
                <w:szCs w:val="20"/>
                <w:u w:val="none"/>
                <w:lang w:val="en-US" w:eastAsia="zh-CN" w:bidi="ar"/>
              </w:rPr>
            </w:pPr>
            <w:r>
              <w:rPr>
                <w:rFonts w:hint="eastAsia" w:ascii="宋体" w:hAnsi="宋体" w:eastAsia="宋体" w:cs="宋体"/>
                <w:i w:val="0"/>
                <w:iCs w:val="0"/>
                <w:snapToGrid w:val="0"/>
                <w:color w:val="FF0000"/>
                <w:kern w:val="0"/>
                <w:sz w:val="20"/>
                <w:szCs w:val="20"/>
                <w:u w:val="none"/>
                <w:lang w:val="en-US" w:eastAsia="zh-CN" w:bidi="ar"/>
              </w:rPr>
              <w:t>浙江省财开集团</w:t>
            </w:r>
          </w:p>
          <w:p w14:paraId="1D04A74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宋体" w:hAnsi="宋体" w:eastAsia="宋体" w:cs="宋体"/>
                <w:i w:val="0"/>
                <w:iCs w:val="0"/>
                <w:snapToGrid w:val="0"/>
                <w:color w:val="FF0000"/>
                <w:kern w:val="0"/>
                <w:sz w:val="20"/>
                <w:szCs w:val="20"/>
                <w:u w:val="none"/>
                <w:lang w:val="en-US" w:eastAsia="zh-CN" w:bidi="ar"/>
              </w:rPr>
              <w:t>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6F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派驻董事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40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EE943">
            <w:pPr>
              <w:jc w:val="center"/>
              <w:rPr>
                <w:rFonts w:hint="default" w:ascii="Times New Roman" w:hAnsi="Times New Roman" w:eastAsia="宋体" w:cs="Times New Roman"/>
                <w:i w:val="0"/>
                <w:iCs w:val="0"/>
                <w:color w:val="000000"/>
                <w:sz w:val="20"/>
                <w:szCs w:val="20"/>
                <w:u w:val="none"/>
              </w:rPr>
            </w:pP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F0C44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r>
      <w:tr w14:paraId="36E6A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1DEBD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义乌市国有资本运营有限公司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2A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派驻董事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A88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28EB">
            <w:pPr>
              <w:jc w:val="center"/>
              <w:rPr>
                <w:rFonts w:hint="default" w:ascii="Times New Roman" w:hAnsi="Times New Roman" w:eastAsia="宋体" w:cs="Times New Roman"/>
                <w:i w:val="0"/>
                <w:iCs w:val="0"/>
                <w:color w:val="000000"/>
                <w:sz w:val="20"/>
                <w:szCs w:val="20"/>
                <w:u w:val="none"/>
              </w:rPr>
            </w:pP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6AB05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w:t>
            </w:r>
          </w:p>
        </w:tc>
      </w:tr>
      <w:tr w14:paraId="51E26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F8B61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义乌市少林袜业有限公司</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7E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派驻监事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896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357.03</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F3DBB">
            <w:pPr>
              <w:jc w:val="center"/>
              <w:rPr>
                <w:rFonts w:hint="default" w:ascii="Times New Roman" w:hAnsi="Times New Roman" w:eastAsia="宋体" w:cs="Times New Roman"/>
                <w:i w:val="0"/>
                <w:iCs w:val="0"/>
                <w:color w:val="000000"/>
                <w:sz w:val="20"/>
                <w:szCs w:val="20"/>
                <w:u w:val="none"/>
              </w:rPr>
            </w:pP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1254D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0.19</w:t>
            </w:r>
          </w:p>
        </w:tc>
      </w:tr>
      <w:tr w14:paraId="3109E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F383B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郑小毛</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42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非执行董事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F0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24.07</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561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snapToGrid w:val="0"/>
                <w:color w:val="auto"/>
                <w:kern w:val="0"/>
                <w:sz w:val="20"/>
                <w:szCs w:val="20"/>
                <w:u w:val="none"/>
                <w:lang w:val="en-US" w:eastAsia="zh-CN" w:bidi="ar"/>
              </w:rPr>
              <w:t>357.03</w:t>
            </w:r>
            <w:r>
              <w:rPr>
                <w:rFonts w:hint="default" w:ascii="Times New Roman" w:hAnsi="Times New Roman" w:eastAsia="宋体" w:cs="Times New Roman"/>
                <w:i w:val="0"/>
                <w:iCs w:val="0"/>
                <w:snapToGrid w:val="0"/>
                <w:color w:val="auto"/>
                <w:kern w:val="0"/>
                <w:sz w:val="20"/>
                <w:szCs w:val="20"/>
                <w:u w:val="none"/>
                <w:lang w:val="en-US" w:eastAsia="zh-CN" w:bidi="ar"/>
              </w:rPr>
              <w:t>（天都混凝土关系人）</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625F2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0.2</w:t>
            </w:r>
          </w:p>
        </w:tc>
      </w:tr>
      <w:tr w14:paraId="41B39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AE456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金江东</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5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执行董事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A2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u w:val="none"/>
                <w:lang w:val="en-US" w:eastAsia="zh-CN" w:bidi="ar"/>
              </w:rPr>
              <w:t>21.64</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91BB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Times New Roman" w:hAnsi="Times New Roman" w:eastAsia="宋体" w:cs="Times New Roman"/>
                <w:i w:val="0"/>
                <w:iCs w:val="0"/>
                <w:snapToGrid w:val="0"/>
                <w:color w:val="auto"/>
                <w:kern w:val="0"/>
                <w:sz w:val="20"/>
                <w:szCs w:val="20"/>
                <w:highlight w:val="none"/>
                <w:u w:val="none"/>
                <w:lang w:val="en-US" w:eastAsia="zh-CN" w:bidi="ar"/>
              </w:rPr>
              <w:t>9468.45</w:t>
            </w:r>
            <w:r>
              <w:rPr>
                <w:rFonts w:hint="default" w:ascii="Times New Roman" w:hAnsi="Times New Roman" w:eastAsia="宋体" w:cs="Times New Roman"/>
                <w:i w:val="0"/>
                <w:iCs w:val="0"/>
                <w:snapToGrid w:val="0"/>
                <w:color w:val="auto"/>
                <w:kern w:val="0"/>
                <w:sz w:val="20"/>
                <w:szCs w:val="20"/>
                <w:highlight w:val="none"/>
                <w:u w:val="none"/>
                <w:lang w:val="en-US" w:eastAsia="zh-CN" w:bidi="ar"/>
              </w:rPr>
              <w:t>（金绣集团关系人）</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249297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5.04</w:t>
            </w:r>
          </w:p>
        </w:tc>
      </w:tr>
      <w:tr w14:paraId="059C7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A5FCD1">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傅照华</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935BB">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snapToGrid w:val="0"/>
                <w:color w:val="000000"/>
                <w:kern w:val="0"/>
                <w:sz w:val="20"/>
                <w:szCs w:val="20"/>
                <w:u w:val="none"/>
                <w:lang w:val="en-US" w:eastAsia="zh-CN" w:bidi="ar"/>
              </w:rPr>
              <w:t>监事长</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8675">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color w:val="000000"/>
                <w:sz w:val="20"/>
                <w:szCs w:val="20"/>
                <w:u w:val="none"/>
                <w:lang w:val="en-US" w:eastAsia="zh-CN"/>
              </w:rPr>
              <w:t>73.02</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DA78F">
            <w:pPr>
              <w:keepNext w:val="0"/>
              <w:keepLines w:val="0"/>
              <w:widowControl/>
              <w:suppressLineNumbers w:val="0"/>
              <w:jc w:val="center"/>
              <w:textAlignment w:val="center"/>
              <w:rPr>
                <w:rFonts w:hint="eastAsia" w:ascii="Times New Roman" w:hAnsi="Times New Roman" w:eastAsia="宋体" w:cs="Times New Roman"/>
                <w:i w:val="0"/>
                <w:iCs w:val="0"/>
                <w:snapToGrid w:val="0"/>
                <w:color w:val="auto"/>
                <w:kern w:val="0"/>
                <w:sz w:val="20"/>
                <w:szCs w:val="20"/>
                <w:highlight w:val="none"/>
                <w:u w:val="none"/>
                <w:lang w:val="en-US" w:eastAsia="zh-CN" w:bidi="ar"/>
              </w:rPr>
            </w:pP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96A03C5">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color w:val="000000"/>
                <w:sz w:val="20"/>
                <w:szCs w:val="20"/>
                <w:u w:val="none"/>
                <w:lang w:val="en-US" w:eastAsia="zh-CN"/>
              </w:rPr>
              <w:t>0.04</w:t>
            </w:r>
          </w:p>
        </w:tc>
      </w:tr>
      <w:tr w14:paraId="50ED2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F7B967">
            <w:pPr>
              <w:keepNext w:val="0"/>
              <w:keepLines w:val="0"/>
              <w:widowControl/>
              <w:suppressLineNumbers w:val="0"/>
              <w:jc w:val="center"/>
              <w:textAlignment w:val="center"/>
              <w:rPr>
                <w:rFonts w:hint="eastAsia" w:ascii="Times New Roman" w:hAnsi="Times New Roman" w:eastAsia="宋体" w:cs="Times New Roman"/>
                <w:i w:val="0"/>
                <w:iCs w:val="0"/>
                <w:color w:val="000000"/>
                <w:sz w:val="20"/>
                <w:szCs w:val="20"/>
                <w:u w:val="none"/>
                <w:lang w:eastAsia="zh-CN"/>
              </w:rPr>
            </w:pPr>
            <w:r>
              <w:rPr>
                <w:rFonts w:hint="eastAsia" w:ascii="Times New Roman" w:hAnsi="Times New Roman" w:eastAsia="宋体" w:cs="Times New Roman"/>
                <w:i w:val="0"/>
                <w:iCs w:val="0"/>
                <w:color w:val="000000"/>
                <w:sz w:val="20"/>
                <w:szCs w:val="20"/>
                <w:u w:val="none"/>
                <w:lang w:eastAsia="zh-CN"/>
              </w:rPr>
              <w:t>葛小平</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E6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执行董事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038D">
            <w:pPr>
              <w:keepNext w:val="0"/>
              <w:keepLines w:val="0"/>
              <w:widowControl/>
              <w:suppressLineNumbers w:val="0"/>
              <w:jc w:val="center"/>
              <w:textAlignment w:val="cente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97.25</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C131E">
            <w:pPr>
              <w:jc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315.67</w:t>
            </w: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6F0D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0.01</w:t>
            </w:r>
          </w:p>
        </w:tc>
      </w:tr>
      <w:tr w14:paraId="2747D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3A5D2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余埴民</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BC1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股东监事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70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24.07</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B5CA">
            <w:pPr>
              <w:jc w:val="center"/>
              <w:rPr>
                <w:rFonts w:hint="default" w:ascii="Times New Roman" w:hAnsi="Times New Roman" w:eastAsia="宋体" w:cs="Times New Roman"/>
                <w:i w:val="0"/>
                <w:iCs w:val="0"/>
                <w:color w:val="000000"/>
                <w:sz w:val="20"/>
                <w:szCs w:val="20"/>
                <w:u w:val="none"/>
              </w:rPr>
            </w:pP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B4C1C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0.01</w:t>
            </w:r>
          </w:p>
        </w:tc>
      </w:tr>
      <w:tr w14:paraId="76B4E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0B9DA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刘锋</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B3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eastAsia" w:ascii="Times New Roman" w:hAnsi="Times New Roman" w:eastAsia="宋体" w:cs="Times New Roman"/>
                <w:i w:val="0"/>
                <w:iCs w:val="0"/>
                <w:snapToGrid w:val="0"/>
                <w:color w:val="000000"/>
                <w:kern w:val="0"/>
                <w:sz w:val="20"/>
                <w:szCs w:val="20"/>
                <w:u w:val="none"/>
                <w:lang w:val="en-US" w:eastAsia="zh-CN" w:bidi="ar"/>
              </w:rPr>
              <w:t>执行董事</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2E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24.07</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13D60">
            <w:pPr>
              <w:jc w:val="center"/>
              <w:rPr>
                <w:rFonts w:hint="default" w:ascii="Times New Roman" w:hAnsi="Times New Roman" w:eastAsia="宋体" w:cs="Times New Roman"/>
                <w:i w:val="0"/>
                <w:iCs w:val="0"/>
                <w:color w:val="000000"/>
                <w:sz w:val="20"/>
                <w:szCs w:val="20"/>
                <w:u w:val="none"/>
              </w:rPr>
            </w:pPr>
          </w:p>
        </w:tc>
        <w:tc>
          <w:tcPr>
            <w:tcW w:w="200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0A2C6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0.04</w:t>
            </w:r>
          </w:p>
        </w:tc>
      </w:tr>
      <w:tr w14:paraId="5BAE6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890" w:type="dxa"/>
            <w:tcBorders>
              <w:top w:val="single" w:color="000000" w:sz="4" w:space="0"/>
              <w:left w:val="single" w:color="000000" w:sz="8" w:space="0"/>
              <w:bottom w:val="single" w:color="000000" w:sz="8" w:space="0"/>
              <w:right w:val="single" w:color="000000" w:sz="4" w:space="0"/>
            </w:tcBorders>
            <w:shd w:val="clear" w:color="auto" w:fill="auto"/>
            <w:vAlign w:val="center"/>
          </w:tcPr>
          <w:p w14:paraId="11ED8F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陈国华</w:t>
            </w:r>
          </w:p>
        </w:tc>
        <w:tc>
          <w:tcPr>
            <w:tcW w:w="180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B3DCF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职工监事</w:t>
            </w:r>
          </w:p>
        </w:tc>
        <w:tc>
          <w:tcPr>
            <w:tcW w:w="118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37FD0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58.48</w:t>
            </w:r>
          </w:p>
        </w:tc>
        <w:tc>
          <w:tcPr>
            <w:tcW w:w="210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05CB1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lang w:val="en-US"/>
              </w:rPr>
            </w:pPr>
            <w:r>
              <w:rPr>
                <w:rFonts w:hint="eastAsia" w:ascii="Times New Roman" w:hAnsi="Times New Roman" w:eastAsia="宋体" w:cs="Times New Roman"/>
                <w:i w:val="0"/>
                <w:iCs w:val="0"/>
                <w:snapToGrid w:val="0"/>
                <w:color w:val="000000"/>
                <w:kern w:val="0"/>
                <w:sz w:val="20"/>
                <w:szCs w:val="20"/>
                <w:highlight w:val="none"/>
                <w:u w:val="none"/>
                <w:lang w:val="en-US" w:eastAsia="zh-CN" w:bidi="ar"/>
              </w:rPr>
              <w:t>27.46</w:t>
            </w:r>
          </w:p>
        </w:tc>
        <w:tc>
          <w:tcPr>
            <w:tcW w:w="2000" w:type="dxa"/>
            <w:tcBorders>
              <w:top w:val="single" w:color="000000" w:sz="4" w:space="0"/>
              <w:left w:val="single" w:color="000000" w:sz="4" w:space="0"/>
              <w:bottom w:val="single" w:color="000000" w:sz="8" w:space="0"/>
              <w:right w:val="single" w:color="000000" w:sz="8" w:space="0"/>
            </w:tcBorders>
            <w:shd w:val="clear" w:color="auto" w:fill="auto"/>
            <w:vAlign w:val="center"/>
          </w:tcPr>
          <w:p w14:paraId="75EE5E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0.04</w:t>
            </w:r>
          </w:p>
        </w:tc>
      </w:tr>
    </w:tbl>
    <w:p w14:paraId="1527D927">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95" w:firstLineChars="200"/>
        <w:textAlignment w:val="baseline"/>
        <w:outlineLvl w:val="1"/>
        <w:rPr>
          <w:rFonts w:hint="default" w:ascii="Times New Roman" w:hAnsi="Times New Roman" w:eastAsia="仿宋_GB2312" w:cs="Times New Roman"/>
          <w:b/>
          <w:bCs/>
          <w:spacing w:val="13"/>
          <w:sz w:val="32"/>
          <w:szCs w:val="32"/>
        </w:rPr>
      </w:pPr>
      <w:r>
        <w:rPr>
          <w:rFonts w:hint="default" w:ascii="Times New Roman" w:hAnsi="Times New Roman" w:eastAsia="仿宋_GB2312" w:cs="Times New Roman"/>
          <w:b/>
          <w:bCs/>
          <w:spacing w:val="13"/>
          <w:sz w:val="32"/>
          <w:szCs w:val="32"/>
        </w:rPr>
        <w:t>2.截至报告期末主要股东及其控股股东、实际控制人</w:t>
      </w:r>
      <w:r>
        <w:rPr>
          <w:rFonts w:hint="eastAsia" w:ascii="Times New Roman" w:hAnsi="Times New Roman" w:eastAsia="仿宋_GB2312" w:cs="Times New Roman"/>
          <w:b/>
          <w:bCs/>
          <w:spacing w:val="13"/>
          <w:sz w:val="32"/>
          <w:szCs w:val="32"/>
          <w:lang w:eastAsia="zh-CN"/>
        </w:rPr>
        <w:t>、</w:t>
      </w:r>
      <w:r>
        <w:rPr>
          <w:rFonts w:hint="default" w:ascii="Times New Roman" w:hAnsi="Times New Roman" w:eastAsia="仿宋_GB2312" w:cs="Times New Roman"/>
          <w:b/>
          <w:bCs/>
          <w:spacing w:val="13"/>
          <w:sz w:val="32"/>
          <w:szCs w:val="32"/>
        </w:rPr>
        <w:t>一致行动人、最终受益人情况</w:t>
      </w:r>
    </w:p>
    <w:tbl>
      <w:tblPr>
        <w:tblStyle w:val="6"/>
        <w:tblW w:w="89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28"/>
        <w:gridCol w:w="1755"/>
        <w:gridCol w:w="1725"/>
        <w:gridCol w:w="2040"/>
        <w:gridCol w:w="1442"/>
      </w:tblGrid>
      <w:tr w14:paraId="4B2AF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028" w:type="dxa"/>
            <w:tcBorders>
              <w:top w:val="single" w:color="000000" w:sz="8" w:space="0"/>
              <w:left w:val="single" w:color="000000" w:sz="8" w:space="0"/>
              <w:bottom w:val="single" w:color="000000" w:sz="4" w:space="0"/>
              <w:right w:val="single" w:color="000000" w:sz="4" w:space="0"/>
            </w:tcBorders>
            <w:shd w:val="clear" w:color="auto" w:fill="0070C0"/>
            <w:vAlign w:val="center"/>
          </w:tcPr>
          <w:p w14:paraId="5A5889E0">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lang w:val="en-US" w:eastAsia="zh-CN" w:bidi="ar-SA"/>
              </w:rPr>
            </w:pPr>
            <w:r>
              <w:rPr>
                <w:rFonts w:hint="eastAsia" w:ascii="宋体" w:hAnsi="宋体" w:eastAsia="宋体" w:cs="宋体"/>
                <w:b/>
                <w:bCs/>
                <w:snapToGrid w:val="0"/>
                <w:color w:val="FFFFFF"/>
                <w:spacing w:val="7"/>
                <w:kern w:val="0"/>
                <w:sz w:val="20"/>
                <w:szCs w:val="20"/>
                <w:lang w:val="en-US" w:eastAsia="zh-CN" w:bidi="ar-SA"/>
              </w:rPr>
              <w:t>股东名称</w:t>
            </w:r>
          </w:p>
        </w:tc>
        <w:tc>
          <w:tcPr>
            <w:tcW w:w="175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1C2C1857">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lang w:val="en-US" w:eastAsia="zh-CN" w:bidi="ar-SA"/>
              </w:rPr>
            </w:pPr>
            <w:r>
              <w:rPr>
                <w:rFonts w:hint="eastAsia" w:ascii="宋体" w:hAnsi="宋体" w:eastAsia="宋体" w:cs="宋体"/>
                <w:b/>
                <w:bCs/>
                <w:snapToGrid w:val="0"/>
                <w:color w:val="FFFFFF"/>
                <w:spacing w:val="7"/>
                <w:kern w:val="0"/>
                <w:sz w:val="20"/>
                <w:szCs w:val="20"/>
                <w:lang w:val="en-US" w:eastAsia="zh-CN" w:bidi="ar-SA"/>
              </w:rPr>
              <w:t>主要股东之控股股东</w:t>
            </w:r>
          </w:p>
        </w:tc>
        <w:tc>
          <w:tcPr>
            <w:tcW w:w="172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45D9FA6D">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lang w:val="en-US" w:eastAsia="zh-CN" w:bidi="ar-SA"/>
              </w:rPr>
            </w:pPr>
            <w:r>
              <w:rPr>
                <w:rFonts w:hint="eastAsia" w:ascii="宋体" w:hAnsi="宋体" w:eastAsia="宋体" w:cs="宋体"/>
                <w:b/>
                <w:bCs/>
                <w:snapToGrid w:val="0"/>
                <w:color w:val="FFFFFF"/>
                <w:spacing w:val="7"/>
                <w:kern w:val="0"/>
                <w:sz w:val="20"/>
                <w:szCs w:val="20"/>
                <w:lang w:val="en-US" w:eastAsia="zh-CN" w:bidi="ar-SA"/>
              </w:rPr>
              <w:t>主要股东之实际控制人</w:t>
            </w:r>
          </w:p>
        </w:tc>
        <w:tc>
          <w:tcPr>
            <w:tcW w:w="204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307D2208">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lang w:val="en-US" w:eastAsia="zh-CN" w:bidi="ar-SA"/>
              </w:rPr>
            </w:pPr>
            <w:r>
              <w:rPr>
                <w:rFonts w:hint="eastAsia" w:ascii="宋体" w:hAnsi="宋体" w:eastAsia="宋体" w:cs="宋体"/>
                <w:b/>
                <w:bCs/>
                <w:snapToGrid w:val="0"/>
                <w:color w:val="FFFFFF"/>
                <w:spacing w:val="7"/>
                <w:kern w:val="0"/>
                <w:sz w:val="20"/>
                <w:szCs w:val="20"/>
                <w:lang w:val="en-US" w:eastAsia="zh-CN" w:bidi="ar-SA"/>
              </w:rPr>
              <w:t>主要股东之最终受益人</w:t>
            </w:r>
          </w:p>
        </w:tc>
        <w:tc>
          <w:tcPr>
            <w:tcW w:w="1442" w:type="dxa"/>
            <w:tcBorders>
              <w:top w:val="single" w:color="000000" w:sz="8" w:space="0"/>
              <w:left w:val="single" w:color="000000" w:sz="4" w:space="0"/>
              <w:bottom w:val="single" w:color="000000" w:sz="4" w:space="0"/>
              <w:right w:val="single" w:color="000000" w:sz="8" w:space="0"/>
            </w:tcBorders>
            <w:shd w:val="clear" w:color="auto" w:fill="0070C0"/>
            <w:vAlign w:val="center"/>
          </w:tcPr>
          <w:p w14:paraId="7190839C">
            <w:pPr>
              <w:keepNext w:val="0"/>
              <w:keepLines w:val="0"/>
              <w:widowControl/>
              <w:suppressLineNumbers w:val="0"/>
              <w:jc w:val="center"/>
              <w:textAlignment w:val="center"/>
              <w:rPr>
                <w:rFonts w:hint="eastAsia" w:ascii="宋体" w:hAnsi="宋体" w:eastAsia="宋体" w:cs="宋体"/>
                <w:b/>
                <w:bCs/>
                <w:snapToGrid w:val="0"/>
                <w:color w:val="FFFFFF"/>
                <w:spacing w:val="7"/>
                <w:kern w:val="0"/>
                <w:sz w:val="20"/>
                <w:szCs w:val="20"/>
                <w:lang w:val="en-US" w:eastAsia="zh-CN" w:bidi="ar-SA"/>
              </w:rPr>
            </w:pPr>
            <w:r>
              <w:rPr>
                <w:rFonts w:hint="eastAsia" w:ascii="宋体" w:hAnsi="宋体" w:eastAsia="宋体" w:cs="宋体"/>
                <w:b/>
                <w:bCs/>
                <w:snapToGrid w:val="0"/>
                <w:color w:val="FFFFFF"/>
                <w:spacing w:val="7"/>
                <w:kern w:val="0"/>
                <w:sz w:val="20"/>
                <w:szCs w:val="20"/>
                <w:lang w:val="en-US" w:eastAsia="zh-CN" w:bidi="ar-SA"/>
              </w:rPr>
              <w:t>主要股东之</w:t>
            </w:r>
            <w:r>
              <w:rPr>
                <w:rFonts w:hint="eastAsia" w:ascii="宋体" w:hAnsi="宋体" w:eastAsia="宋体" w:cs="宋体"/>
                <w:b/>
                <w:bCs/>
                <w:snapToGrid w:val="0"/>
                <w:color w:val="FFFFFF"/>
                <w:spacing w:val="7"/>
                <w:kern w:val="0"/>
                <w:sz w:val="20"/>
                <w:szCs w:val="20"/>
                <w:lang w:val="en-US" w:eastAsia="zh-CN" w:bidi="ar-SA"/>
              </w:rPr>
              <w:br w:type="textWrapping"/>
            </w:r>
            <w:r>
              <w:rPr>
                <w:rFonts w:hint="eastAsia" w:ascii="宋体" w:hAnsi="宋体" w:eastAsia="宋体" w:cs="宋体"/>
                <w:b/>
                <w:bCs/>
                <w:snapToGrid w:val="0"/>
                <w:color w:val="FFFFFF"/>
                <w:spacing w:val="7"/>
                <w:kern w:val="0"/>
                <w:sz w:val="20"/>
                <w:szCs w:val="20"/>
                <w:lang w:val="en-US" w:eastAsia="zh-CN" w:bidi="ar-SA"/>
              </w:rPr>
              <w:t>一致行动人</w:t>
            </w:r>
          </w:p>
        </w:tc>
      </w:tr>
      <w:tr w14:paraId="707B6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B5309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金绣集团有限公司</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05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金亮</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8D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金伟东</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61C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金亮、金蕾</w:t>
            </w:r>
          </w:p>
        </w:tc>
        <w:tc>
          <w:tcPr>
            <w:tcW w:w="144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B53FE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无</w:t>
            </w:r>
          </w:p>
        </w:tc>
      </w:tr>
      <w:tr w14:paraId="6C66A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0F742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真爱集团有限公司</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52D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郑期中</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A3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郑期中</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17D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郑期中、刘元庆、刘忠庆</w:t>
            </w:r>
          </w:p>
        </w:tc>
        <w:tc>
          <w:tcPr>
            <w:tcW w:w="144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2727B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无</w:t>
            </w:r>
          </w:p>
        </w:tc>
      </w:tr>
      <w:tr w14:paraId="36707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239E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华统集团有限公司</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03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朱俭勇</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A08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朱俭勇</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94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朱俭勇、朱俭军、朱凯</w:t>
            </w:r>
          </w:p>
        </w:tc>
        <w:tc>
          <w:tcPr>
            <w:tcW w:w="144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060D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无</w:t>
            </w:r>
          </w:p>
        </w:tc>
      </w:tr>
      <w:tr w14:paraId="570E9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2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217CDC5">
            <w:pPr>
              <w:keepNext w:val="0"/>
              <w:keepLines w:val="0"/>
              <w:widowControl/>
              <w:suppressLineNumbers w:val="0"/>
              <w:jc w:val="center"/>
              <w:textAlignment w:val="center"/>
              <w:rPr>
                <w:rFonts w:hint="eastAsia" w:ascii="宋体" w:hAnsi="宋体" w:eastAsia="宋体" w:cs="宋体"/>
                <w:i w:val="0"/>
                <w:iCs w:val="0"/>
                <w:snapToGrid w:val="0"/>
                <w:color w:val="FF0000"/>
                <w:kern w:val="0"/>
                <w:sz w:val="20"/>
                <w:szCs w:val="20"/>
                <w:u w:val="none"/>
                <w:lang w:val="en-US" w:eastAsia="zh-CN" w:bidi="ar"/>
              </w:rPr>
            </w:pPr>
            <w:r>
              <w:rPr>
                <w:rFonts w:hint="eastAsia" w:ascii="宋体" w:hAnsi="宋体" w:eastAsia="宋体" w:cs="宋体"/>
                <w:i w:val="0"/>
                <w:iCs w:val="0"/>
                <w:snapToGrid w:val="0"/>
                <w:color w:val="FF0000"/>
                <w:kern w:val="0"/>
                <w:sz w:val="20"/>
                <w:szCs w:val="20"/>
                <w:u w:val="none"/>
                <w:lang w:val="en-US" w:eastAsia="zh-CN" w:bidi="ar"/>
              </w:rPr>
              <w:t>浙江省财开集团</w:t>
            </w:r>
          </w:p>
          <w:p w14:paraId="0FCA83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FF0000"/>
                <w:kern w:val="0"/>
                <w:sz w:val="20"/>
                <w:szCs w:val="20"/>
                <w:u w:val="none"/>
                <w:lang w:val="en-US" w:eastAsia="zh-CN" w:bidi="ar"/>
              </w:rPr>
              <w:t>有限公司</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D53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浙江省财政厅</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0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浙江省财政厅</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DF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浙江省财务开发有限责任公司</w:t>
            </w:r>
          </w:p>
        </w:tc>
        <w:tc>
          <w:tcPr>
            <w:tcW w:w="144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7B09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无</w:t>
            </w:r>
          </w:p>
        </w:tc>
      </w:tr>
      <w:tr w14:paraId="4D3D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2028"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97FF4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义乌市国有资本运营有限公司</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C4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义乌市人民政府国有资产监督管理办公室</w:t>
            </w:r>
          </w:p>
        </w:tc>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E84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义乌市人民政府国有资产监督管理办公室</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283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义乌市人民政府国有资产监督管理办公室</w:t>
            </w:r>
          </w:p>
        </w:tc>
        <w:tc>
          <w:tcPr>
            <w:tcW w:w="144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19AB4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无</w:t>
            </w:r>
          </w:p>
        </w:tc>
      </w:tr>
      <w:tr w14:paraId="53322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028" w:type="dxa"/>
            <w:tcBorders>
              <w:top w:val="single" w:color="000000" w:sz="4" w:space="0"/>
              <w:left w:val="single" w:color="000000" w:sz="8" w:space="0"/>
              <w:bottom w:val="single" w:color="000000" w:sz="8" w:space="0"/>
              <w:right w:val="single" w:color="000000" w:sz="4" w:space="0"/>
            </w:tcBorders>
            <w:shd w:val="clear" w:color="auto" w:fill="auto"/>
            <w:vAlign w:val="center"/>
          </w:tcPr>
          <w:p w14:paraId="736432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义乌市少林袜业有限公司</w:t>
            </w:r>
          </w:p>
        </w:tc>
        <w:tc>
          <w:tcPr>
            <w:tcW w:w="175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144D6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傅文豪</w:t>
            </w:r>
          </w:p>
        </w:tc>
        <w:tc>
          <w:tcPr>
            <w:tcW w:w="172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DDD90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傅小林</w:t>
            </w:r>
          </w:p>
        </w:tc>
        <w:tc>
          <w:tcPr>
            <w:tcW w:w="204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EBF18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傅文豪、傅小林、丁爱仙</w:t>
            </w:r>
          </w:p>
        </w:tc>
        <w:tc>
          <w:tcPr>
            <w:tcW w:w="1442" w:type="dxa"/>
            <w:tcBorders>
              <w:top w:val="single" w:color="000000" w:sz="4" w:space="0"/>
              <w:left w:val="single" w:color="000000" w:sz="4" w:space="0"/>
              <w:bottom w:val="single" w:color="000000" w:sz="8" w:space="0"/>
              <w:right w:val="single" w:color="000000" w:sz="8" w:space="0"/>
            </w:tcBorders>
            <w:shd w:val="clear" w:color="auto" w:fill="auto"/>
            <w:vAlign w:val="center"/>
          </w:tcPr>
          <w:p w14:paraId="7C8632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无</w:t>
            </w:r>
          </w:p>
        </w:tc>
      </w:tr>
    </w:tbl>
    <w:p w14:paraId="2C70F0EF">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95" w:firstLineChars="200"/>
        <w:textAlignment w:val="baseline"/>
        <w:outlineLvl w:val="1"/>
        <w:rPr>
          <w:rFonts w:hint="default" w:ascii="Times New Roman" w:hAnsi="Times New Roman" w:eastAsia="仿宋_GB2312" w:cs="Times New Roman"/>
          <w:b/>
          <w:bCs/>
          <w:spacing w:val="13"/>
          <w:sz w:val="32"/>
          <w:szCs w:val="32"/>
        </w:rPr>
      </w:pPr>
      <w:r>
        <w:rPr>
          <w:rFonts w:hint="default" w:ascii="Times New Roman" w:hAnsi="Times New Roman" w:eastAsia="仿宋_GB2312" w:cs="Times New Roman"/>
          <w:b/>
          <w:bCs/>
          <w:spacing w:val="13"/>
          <w:sz w:val="32"/>
          <w:szCs w:val="32"/>
          <w:lang w:val="en-US" w:eastAsia="zh-CN"/>
        </w:rPr>
        <w:t>3.</w:t>
      </w:r>
      <w:r>
        <w:rPr>
          <w:rFonts w:hint="default" w:ascii="Times New Roman" w:hAnsi="Times New Roman" w:eastAsia="仿宋_GB2312" w:cs="Times New Roman"/>
          <w:b/>
          <w:bCs/>
          <w:spacing w:val="13"/>
          <w:sz w:val="32"/>
          <w:szCs w:val="32"/>
        </w:rPr>
        <w:t>主要股东股权质押、冻结情况</w:t>
      </w:r>
    </w:p>
    <w:p w14:paraId="1F22BB22">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w:t>
      </w:r>
      <w:r>
        <w:rPr>
          <w:rFonts w:hint="default" w:ascii="Times New Roman" w:hAnsi="Times New Roman" w:eastAsia="仿宋_GB2312" w:cs="Times New Roman"/>
          <w:sz w:val="32"/>
          <w:szCs w:val="32"/>
          <w:lang w:eastAsia="zh-CN"/>
        </w:rPr>
        <w:t>报告期</w:t>
      </w:r>
      <w:r>
        <w:rPr>
          <w:rFonts w:hint="default" w:ascii="Times New Roman" w:hAnsi="Times New Roman" w:eastAsia="仿宋_GB2312" w:cs="Times New Roman"/>
          <w:sz w:val="32"/>
          <w:szCs w:val="32"/>
        </w:rPr>
        <w:t>末，本行</w:t>
      </w:r>
      <w:r>
        <w:rPr>
          <w:rFonts w:hint="default" w:ascii="Times New Roman" w:hAnsi="Times New Roman" w:eastAsia="仿宋_GB2312" w:cs="Times New Roman"/>
          <w:sz w:val="32"/>
          <w:szCs w:val="32"/>
          <w:lang w:eastAsia="zh-CN"/>
        </w:rPr>
        <w:t>主要</w:t>
      </w:r>
      <w:r>
        <w:rPr>
          <w:rFonts w:hint="default" w:ascii="Times New Roman" w:hAnsi="Times New Roman" w:eastAsia="仿宋_GB2312" w:cs="Times New Roman"/>
          <w:sz w:val="32"/>
          <w:szCs w:val="32"/>
        </w:rPr>
        <w:t>股东质押股份合计</w:t>
      </w:r>
      <w:r>
        <w:rPr>
          <w:rFonts w:hint="eastAsia" w:ascii="Times New Roman" w:hAnsi="Times New Roman" w:eastAsia="仿宋_GB2312" w:cs="Times New Roman"/>
          <w:sz w:val="32"/>
          <w:szCs w:val="32"/>
          <w:lang w:val="en-US" w:eastAsia="zh-CN"/>
        </w:rPr>
        <w:t>8900</w:t>
      </w:r>
      <w:r>
        <w:rPr>
          <w:rFonts w:hint="default" w:ascii="Times New Roman" w:hAnsi="Times New Roman" w:eastAsia="仿宋_GB2312" w:cs="Times New Roman"/>
          <w:sz w:val="32"/>
          <w:szCs w:val="32"/>
          <w:lang w:eastAsia="zh-CN"/>
        </w:rPr>
        <w:t>万</w:t>
      </w:r>
      <w:r>
        <w:rPr>
          <w:rFonts w:hint="default" w:ascii="Times New Roman" w:hAnsi="Times New Roman" w:eastAsia="仿宋_GB2312" w:cs="Times New Roman"/>
          <w:sz w:val="32"/>
          <w:szCs w:val="32"/>
        </w:rPr>
        <w:t>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占本行总股本的</w:t>
      </w:r>
      <w:r>
        <w:rPr>
          <w:rFonts w:hint="default"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val="en-US" w:eastAsia="zh-CN"/>
        </w:rPr>
        <w:t>73</w:t>
      </w:r>
      <w:r>
        <w:rPr>
          <w:rFonts w:hint="default" w:ascii="Times New Roman" w:hAnsi="Times New Roman" w:eastAsia="仿宋_GB2312" w:cs="Times New Roman"/>
          <w:sz w:val="32"/>
          <w:szCs w:val="32"/>
        </w:rPr>
        <w:t>%。</w:t>
      </w:r>
    </w:p>
    <w:tbl>
      <w:tblPr>
        <w:tblStyle w:val="8"/>
        <w:tblW w:w="9015" w:type="dxa"/>
        <w:tblInd w:w="-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0070C0"/>
        <w:tblLayout w:type="fixed"/>
        <w:tblCellMar>
          <w:top w:w="0" w:type="dxa"/>
          <w:left w:w="0" w:type="dxa"/>
          <w:bottom w:w="0" w:type="dxa"/>
          <w:right w:w="0" w:type="dxa"/>
        </w:tblCellMar>
      </w:tblPr>
      <w:tblGrid>
        <w:gridCol w:w="1950"/>
        <w:gridCol w:w="1995"/>
        <w:gridCol w:w="1935"/>
        <w:gridCol w:w="3135"/>
      </w:tblGrid>
      <w:tr w14:paraId="74534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0070C0"/>
          <w:tblCellMar>
            <w:top w:w="0" w:type="dxa"/>
            <w:left w:w="0" w:type="dxa"/>
            <w:bottom w:w="0" w:type="dxa"/>
            <w:right w:w="0" w:type="dxa"/>
          </w:tblCellMar>
        </w:tblPrEx>
        <w:trPr>
          <w:trHeight w:val="631" w:hRule="atLeast"/>
        </w:trPr>
        <w:tc>
          <w:tcPr>
            <w:tcW w:w="1950" w:type="dxa"/>
            <w:tcBorders>
              <w:left w:val="single" w:color="000000" w:sz="2" w:space="0"/>
              <w:bottom w:val="single" w:color="000000" w:sz="2" w:space="0"/>
              <w:right w:val="single" w:color="000000" w:sz="2" w:space="0"/>
            </w:tcBorders>
            <w:shd w:val="clear" w:color="auto" w:fill="0070C0"/>
            <w:vAlign w:val="top"/>
          </w:tcPr>
          <w:p w14:paraId="1867D5D4">
            <w:pPr>
              <w:pStyle w:val="9"/>
              <w:spacing w:before="212" w:line="228" w:lineRule="auto"/>
              <w:ind w:left="625"/>
              <w:rPr>
                <w:rFonts w:hint="default" w:ascii="Times New Roman" w:hAnsi="Times New Roman" w:cs="Times New Roman"/>
              </w:rPr>
            </w:pPr>
            <w:r>
              <w:rPr>
                <w:rFonts w:hint="default" w:ascii="Times New Roman" w:hAnsi="Times New Roman" w:cs="Times New Roman"/>
                <w:color w:val="FFFFFF"/>
                <w:spacing w:val="7"/>
                <w:lang w:eastAsia="zh-CN"/>
              </w:rPr>
              <w:t>主要</w:t>
            </w:r>
            <w:r>
              <w:rPr>
                <w:rFonts w:hint="default" w:ascii="Times New Roman" w:hAnsi="Times New Roman" w:cs="Times New Roman"/>
                <w:color w:val="FFFFFF"/>
                <w:spacing w:val="7"/>
              </w:rPr>
              <w:t>股东名称</w:t>
            </w:r>
          </w:p>
        </w:tc>
        <w:tc>
          <w:tcPr>
            <w:tcW w:w="1995" w:type="dxa"/>
            <w:tcBorders>
              <w:left w:val="single" w:color="000000" w:sz="2" w:space="0"/>
              <w:bottom w:val="single" w:color="000000" w:sz="2" w:space="0"/>
              <w:right w:val="single" w:color="000000" w:sz="2" w:space="0"/>
            </w:tcBorders>
            <w:shd w:val="clear" w:color="auto" w:fill="0070C0"/>
            <w:vAlign w:val="top"/>
          </w:tcPr>
          <w:p w14:paraId="3F6A7ACB">
            <w:pPr>
              <w:pStyle w:val="9"/>
              <w:spacing w:before="212" w:line="230" w:lineRule="auto"/>
              <w:ind w:left="229"/>
              <w:rPr>
                <w:rFonts w:hint="default" w:ascii="Times New Roman" w:hAnsi="Times New Roman" w:eastAsia="宋体" w:cs="Times New Roman"/>
                <w:lang w:eastAsia="zh-CN"/>
              </w:rPr>
            </w:pPr>
            <w:r>
              <w:rPr>
                <w:rFonts w:hint="default" w:ascii="Times New Roman" w:hAnsi="Times New Roman" w:eastAsia="宋体" w:cs="Times New Roman"/>
                <w:color w:val="FFFFFF"/>
                <w:spacing w:val="7"/>
                <w:lang w:eastAsia="zh-CN"/>
              </w:rPr>
              <w:t>持有股份（万股）</w:t>
            </w:r>
          </w:p>
        </w:tc>
        <w:tc>
          <w:tcPr>
            <w:tcW w:w="1935" w:type="dxa"/>
            <w:tcBorders>
              <w:left w:val="single" w:color="000000" w:sz="2" w:space="0"/>
              <w:bottom w:val="single" w:color="000000" w:sz="2" w:space="0"/>
              <w:right w:val="single" w:color="000000" w:sz="2" w:space="0"/>
            </w:tcBorders>
            <w:shd w:val="clear" w:color="auto" w:fill="0070C0"/>
            <w:vAlign w:val="top"/>
          </w:tcPr>
          <w:p w14:paraId="448985C1">
            <w:pPr>
              <w:pStyle w:val="9"/>
              <w:spacing w:before="212" w:line="240" w:lineRule="auto"/>
              <w:ind w:left="123"/>
              <w:rPr>
                <w:rFonts w:hint="default" w:ascii="Times New Roman" w:hAnsi="Times New Roman" w:eastAsia="宋体" w:cs="Times New Roman"/>
                <w:lang w:eastAsia="zh-CN"/>
              </w:rPr>
            </w:pPr>
            <w:r>
              <w:rPr>
                <w:rFonts w:hint="default" w:ascii="Times New Roman" w:hAnsi="Times New Roman" w:cs="Times New Roman"/>
                <w:color w:val="FFFFFF"/>
                <w:spacing w:val="7"/>
                <w:lang w:eastAsia="zh-CN"/>
              </w:rPr>
              <w:t>质押股份（万股）</w:t>
            </w:r>
          </w:p>
        </w:tc>
        <w:tc>
          <w:tcPr>
            <w:tcW w:w="3135" w:type="dxa"/>
            <w:tcBorders>
              <w:left w:val="single" w:color="000000" w:sz="2" w:space="0"/>
              <w:bottom w:val="single" w:color="000000" w:sz="2" w:space="0"/>
              <w:right w:val="single" w:color="000000" w:sz="2" w:space="0"/>
            </w:tcBorders>
            <w:shd w:val="clear" w:color="auto" w:fill="0070C0"/>
            <w:vAlign w:val="top"/>
          </w:tcPr>
          <w:p w14:paraId="51D74F31">
            <w:pPr>
              <w:pStyle w:val="9"/>
              <w:spacing w:before="181" w:line="240" w:lineRule="auto"/>
              <w:ind w:left="1373" w:leftChars="154" w:hanging="1050" w:hangingChars="500"/>
              <w:rPr>
                <w:rFonts w:hint="default" w:ascii="Times New Roman" w:hAnsi="Times New Roman" w:eastAsia="宋体" w:cs="Times New Roman"/>
                <w:lang w:eastAsia="zh-CN"/>
              </w:rPr>
            </w:pPr>
            <w:r>
              <w:rPr>
                <w:rFonts w:hint="default" w:ascii="Times New Roman" w:hAnsi="Times New Roman" w:cs="Times New Roman"/>
                <w:color w:val="FFFFFF"/>
                <w:spacing w:val="5"/>
                <w:position w:val="2"/>
                <w:lang w:eastAsia="zh-CN"/>
              </w:rPr>
              <w:t>出质股份占其所持股份的</w:t>
            </w:r>
            <w:r>
              <w:rPr>
                <w:rFonts w:hint="default" w:ascii="Times New Roman" w:hAnsi="Times New Roman" w:cs="Times New Roman"/>
                <w:color w:val="FFFFFF"/>
                <w:spacing w:val="5"/>
                <w:position w:val="2"/>
              </w:rPr>
              <w:t>比例</w:t>
            </w:r>
            <w:r>
              <w:rPr>
                <w:rFonts w:hint="default" w:ascii="Times New Roman" w:hAnsi="Times New Roman" w:cs="Times New Roman"/>
                <w:color w:val="FFFFFF"/>
                <w:spacing w:val="5"/>
                <w:position w:val="2"/>
                <w:lang w:eastAsia="zh-CN"/>
              </w:rPr>
              <w:t>（</w:t>
            </w:r>
            <w:r>
              <w:rPr>
                <w:rFonts w:hint="default" w:ascii="Times New Roman" w:hAnsi="Times New Roman" w:eastAsia="Times New Roman" w:cs="Times New Roman"/>
                <w:color w:val="FFFFFF"/>
                <w:spacing w:val="5"/>
                <w:position w:val="2"/>
              </w:rPr>
              <w:t>%</w:t>
            </w:r>
            <w:r>
              <w:rPr>
                <w:rFonts w:hint="default" w:ascii="Times New Roman" w:hAnsi="Times New Roman" w:eastAsia="宋体" w:cs="Times New Roman"/>
                <w:color w:val="FFFFFF"/>
                <w:spacing w:val="5"/>
                <w:position w:val="2"/>
                <w:lang w:eastAsia="zh-CN"/>
              </w:rPr>
              <w:t>）</w:t>
            </w:r>
          </w:p>
        </w:tc>
      </w:tr>
      <w:tr w14:paraId="56B42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47" w:hRule="atLeast"/>
        </w:trPr>
        <w:tc>
          <w:tcPr>
            <w:tcW w:w="19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F3D6D52">
            <w:pPr>
              <w:pStyle w:val="9"/>
              <w:spacing w:before="56" w:line="261" w:lineRule="auto"/>
              <w:ind w:left="45" w:right="25" w:hanging="3"/>
              <w:jc w:val="center"/>
              <w:rPr>
                <w:rFonts w:hint="default" w:ascii="Times New Roman" w:hAnsi="Times New Roman" w:cs="Times New Roman"/>
                <w:sz w:val="20"/>
                <w:szCs w:val="20"/>
              </w:rPr>
            </w:pPr>
            <w:r>
              <w:rPr>
                <w:rFonts w:hint="default" w:ascii="Times New Roman" w:hAnsi="Times New Roman" w:cs="Times New Roman"/>
                <w:color w:val="auto"/>
                <w:kern w:val="0"/>
                <w:sz w:val="20"/>
                <w:szCs w:val="20"/>
              </w:rPr>
              <w:t>真爱集团有限公司</w:t>
            </w:r>
          </w:p>
        </w:tc>
        <w:tc>
          <w:tcPr>
            <w:tcW w:w="199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9D5C2C8">
            <w:pPr>
              <w:pStyle w:val="9"/>
              <w:spacing w:before="212" w:line="228" w:lineRule="auto"/>
              <w:ind w:left="124"/>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9413.86</w:t>
            </w:r>
          </w:p>
        </w:tc>
        <w:tc>
          <w:tcPr>
            <w:tcW w:w="193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D1AD5AC">
            <w:pPr>
              <w:pStyle w:val="9"/>
              <w:spacing w:before="213" w:line="228" w:lineRule="auto"/>
              <w:jc w:val="center"/>
              <w:rPr>
                <w:rFonts w:hint="default" w:ascii="Times New Roman" w:hAnsi="Times New Roman" w:eastAsia="宋体" w:cs="Times New Roman"/>
                <w:sz w:val="20"/>
                <w:szCs w:val="20"/>
                <w:lang w:val="en-US" w:eastAsia="zh-CN"/>
              </w:rPr>
            </w:pPr>
            <w:r>
              <w:rPr>
                <w:rFonts w:hint="eastAsia" w:ascii="Times New Roman" w:hAnsi="Times New Roman" w:cs="Times New Roman"/>
                <w:spacing w:val="6"/>
                <w:sz w:val="20"/>
                <w:szCs w:val="20"/>
                <w:lang w:val="en-US" w:eastAsia="zh-CN"/>
              </w:rPr>
              <w:t>42</w:t>
            </w:r>
            <w:r>
              <w:rPr>
                <w:rFonts w:hint="default" w:ascii="Times New Roman" w:hAnsi="Times New Roman" w:cs="Times New Roman"/>
                <w:spacing w:val="6"/>
                <w:sz w:val="20"/>
                <w:szCs w:val="20"/>
                <w:lang w:val="en-US" w:eastAsia="zh-CN"/>
              </w:rPr>
              <w:t>00</w:t>
            </w:r>
          </w:p>
        </w:tc>
        <w:tc>
          <w:tcPr>
            <w:tcW w:w="313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DFB3B61">
            <w:pPr>
              <w:spacing w:before="248" w:line="195" w:lineRule="auto"/>
              <w:ind w:left="516"/>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napToGrid w:val="0"/>
                <w:color w:val="000000"/>
                <w:spacing w:val="6"/>
                <w:kern w:val="0"/>
                <w:sz w:val="20"/>
                <w:szCs w:val="20"/>
                <w:lang w:val="en-US" w:eastAsia="zh-CN" w:bidi="ar-SA"/>
              </w:rPr>
              <w:t>44.62</w:t>
            </w:r>
          </w:p>
        </w:tc>
      </w:tr>
      <w:tr w14:paraId="4CF96A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487" w:hRule="atLeast"/>
        </w:trPr>
        <w:tc>
          <w:tcPr>
            <w:tcW w:w="195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2B98159">
            <w:pPr>
              <w:pStyle w:val="9"/>
              <w:spacing w:before="53" w:line="260" w:lineRule="auto"/>
              <w:ind w:left="50" w:right="25" w:hanging="13"/>
              <w:jc w:val="center"/>
              <w:rPr>
                <w:rFonts w:hint="default" w:ascii="Times New Roman" w:hAnsi="Times New Roman" w:cs="Times New Roman"/>
                <w:sz w:val="20"/>
                <w:szCs w:val="20"/>
              </w:rPr>
            </w:pPr>
            <w:r>
              <w:rPr>
                <w:rFonts w:hint="default" w:ascii="Times New Roman" w:hAnsi="Times New Roman" w:cs="Times New Roman"/>
                <w:color w:val="auto"/>
                <w:kern w:val="0"/>
                <w:sz w:val="20"/>
                <w:szCs w:val="20"/>
              </w:rPr>
              <w:t>华统集团有限公司</w:t>
            </w:r>
          </w:p>
        </w:tc>
        <w:tc>
          <w:tcPr>
            <w:tcW w:w="199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3C8CEA3">
            <w:pPr>
              <w:pStyle w:val="9"/>
              <w:spacing w:before="209" w:line="228" w:lineRule="auto"/>
              <w:ind w:left="124"/>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9413.86</w:t>
            </w:r>
          </w:p>
        </w:tc>
        <w:tc>
          <w:tcPr>
            <w:tcW w:w="193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E724F6C">
            <w:pPr>
              <w:pStyle w:val="9"/>
              <w:spacing w:before="209" w:line="229" w:lineRule="auto"/>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47</w:t>
            </w:r>
            <w:r>
              <w:rPr>
                <w:rFonts w:hint="default" w:ascii="Times New Roman" w:hAnsi="Times New Roman" w:cs="Times New Roman"/>
                <w:sz w:val="20"/>
                <w:szCs w:val="20"/>
                <w:lang w:val="en-US" w:eastAsia="zh-CN"/>
              </w:rPr>
              <w:t>00</w:t>
            </w:r>
          </w:p>
        </w:tc>
        <w:tc>
          <w:tcPr>
            <w:tcW w:w="3135"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744C025">
            <w:pPr>
              <w:spacing w:before="245" w:line="195" w:lineRule="auto"/>
              <w:ind w:left="517"/>
              <w:jc w:val="center"/>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napToGrid w:val="0"/>
                <w:color w:val="000000"/>
                <w:spacing w:val="6"/>
                <w:kern w:val="0"/>
                <w:sz w:val="20"/>
                <w:szCs w:val="20"/>
                <w:lang w:val="en-US" w:eastAsia="zh-CN" w:bidi="ar-SA"/>
              </w:rPr>
              <w:t>49.93</w:t>
            </w:r>
          </w:p>
        </w:tc>
      </w:tr>
      <w:tr w14:paraId="5C875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27" w:hRule="atLeast"/>
        </w:trPr>
        <w:tc>
          <w:tcPr>
            <w:tcW w:w="1950" w:type="dxa"/>
            <w:tcBorders>
              <w:top w:val="single" w:color="000000" w:sz="2" w:space="0"/>
              <w:left w:val="single" w:color="000000" w:sz="2" w:space="0"/>
              <w:right w:val="single" w:color="000000" w:sz="2" w:space="0"/>
            </w:tcBorders>
            <w:shd w:val="clear" w:color="auto" w:fill="auto"/>
            <w:vAlign w:val="center"/>
          </w:tcPr>
          <w:p w14:paraId="1BA0F6C5">
            <w:pPr>
              <w:pStyle w:val="9"/>
              <w:spacing w:before="54" w:line="262" w:lineRule="auto"/>
              <w:ind w:left="36" w:right="25"/>
              <w:jc w:val="center"/>
              <w:rPr>
                <w:rFonts w:hint="default" w:ascii="Times New Roman" w:hAnsi="Times New Roman" w:eastAsia="宋体" w:cs="Times New Roman"/>
                <w:sz w:val="20"/>
                <w:szCs w:val="20"/>
                <w:lang w:eastAsia="zh-CN"/>
              </w:rPr>
            </w:pPr>
            <w:r>
              <w:rPr>
                <w:rFonts w:hint="default" w:ascii="Times New Roman" w:hAnsi="Times New Roman" w:cs="Times New Roman"/>
                <w:sz w:val="20"/>
                <w:szCs w:val="20"/>
                <w:lang w:eastAsia="zh-CN"/>
              </w:rPr>
              <w:t>合计</w:t>
            </w:r>
          </w:p>
        </w:tc>
        <w:tc>
          <w:tcPr>
            <w:tcW w:w="1995" w:type="dxa"/>
            <w:tcBorders>
              <w:top w:val="single" w:color="000000" w:sz="2" w:space="0"/>
              <w:left w:val="single" w:color="000000" w:sz="2" w:space="0"/>
              <w:right w:val="single" w:color="000000" w:sz="2" w:space="0"/>
            </w:tcBorders>
            <w:shd w:val="clear" w:color="auto" w:fill="auto"/>
            <w:vAlign w:val="center"/>
          </w:tcPr>
          <w:p w14:paraId="16EF28CE">
            <w:pPr>
              <w:pStyle w:val="9"/>
              <w:spacing w:before="210" w:line="228" w:lineRule="auto"/>
              <w:ind w:left="124"/>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18827.73</w:t>
            </w:r>
          </w:p>
        </w:tc>
        <w:tc>
          <w:tcPr>
            <w:tcW w:w="1935" w:type="dxa"/>
            <w:tcBorders>
              <w:top w:val="single" w:color="000000" w:sz="2" w:space="0"/>
              <w:left w:val="single" w:color="000000" w:sz="2" w:space="0"/>
              <w:right w:val="single" w:color="000000" w:sz="2" w:space="0"/>
            </w:tcBorders>
            <w:shd w:val="clear" w:color="auto" w:fill="auto"/>
            <w:vAlign w:val="center"/>
          </w:tcPr>
          <w:p w14:paraId="3183FCD4">
            <w:pPr>
              <w:pStyle w:val="9"/>
              <w:spacing w:before="211" w:line="228" w:lineRule="auto"/>
              <w:jc w:val="center"/>
              <w:rPr>
                <w:rFonts w:hint="default" w:ascii="Times New Roman" w:hAnsi="Times New Roman" w:eastAsia="宋体" w:cs="Times New Roman"/>
                <w:sz w:val="20"/>
                <w:szCs w:val="20"/>
                <w:lang w:val="en-US" w:eastAsia="zh-CN"/>
              </w:rPr>
            </w:pPr>
            <w:r>
              <w:rPr>
                <w:rFonts w:hint="eastAsia" w:ascii="Times New Roman" w:hAnsi="Times New Roman" w:cs="Times New Roman"/>
                <w:sz w:val="20"/>
                <w:szCs w:val="20"/>
                <w:lang w:val="en-US" w:eastAsia="zh-CN"/>
              </w:rPr>
              <w:t>8900</w:t>
            </w:r>
          </w:p>
        </w:tc>
        <w:tc>
          <w:tcPr>
            <w:tcW w:w="3135" w:type="dxa"/>
            <w:tcBorders>
              <w:top w:val="single" w:color="000000" w:sz="2" w:space="0"/>
              <w:left w:val="single" w:color="000000" w:sz="2" w:space="0"/>
              <w:right w:val="single" w:color="000000" w:sz="2" w:space="0"/>
            </w:tcBorders>
            <w:shd w:val="clear" w:color="auto" w:fill="auto"/>
            <w:vAlign w:val="center"/>
          </w:tcPr>
          <w:p w14:paraId="6FC02EF7">
            <w:pPr>
              <w:spacing w:before="247" w:line="195" w:lineRule="auto"/>
              <w:ind w:left="518"/>
              <w:jc w:val="center"/>
              <w:rPr>
                <w:rFonts w:hint="default" w:ascii="Times New Roman" w:hAnsi="Times New Roman" w:eastAsia="宋体" w:cs="Times New Roman"/>
                <w:sz w:val="20"/>
                <w:szCs w:val="20"/>
                <w:lang w:eastAsia="zh-CN"/>
              </w:rPr>
            </w:pPr>
            <w:r>
              <w:rPr>
                <w:rFonts w:hint="default" w:ascii="Times New Roman" w:hAnsi="Times New Roman" w:cs="Times New Roman"/>
                <w:color w:val="auto"/>
                <w:kern w:val="0"/>
                <w:sz w:val="20"/>
                <w:szCs w:val="20"/>
                <w:lang w:eastAsia="zh-CN"/>
              </w:rPr>
              <w:t>—</w:t>
            </w:r>
          </w:p>
        </w:tc>
      </w:tr>
    </w:tbl>
    <w:p w14:paraId="27264DE1">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eastAsia" w:ascii="楷体_GB2312" w:hAnsi="楷体_GB2312" w:eastAsia="楷体_GB2312" w:cs="楷体_GB2312"/>
          <w:b w:val="0"/>
          <w:bCs w:val="0"/>
          <w:spacing w:val="5"/>
          <w:sz w:val="32"/>
          <w:szCs w:val="32"/>
        </w:rPr>
      </w:pPr>
    </w:p>
    <w:p w14:paraId="78DF78FD">
      <w:pPr>
        <w:pStyle w:val="3"/>
        <w:spacing w:before="254" w:line="299" w:lineRule="auto"/>
        <w:ind w:right="400"/>
        <w:jc w:val="center"/>
        <w:rPr>
          <w:rFonts w:hint="eastAsia" w:ascii="黑体" w:hAnsi="黑体" w:eastAsia="黑体" w:cs="黑体"/>
          <w:highlight w:val="none"/>
          <w:lang w:eastAsia="zh-CN"/>
        </w:rPr>
      </w:pPr>
      <w:r>
        <w:rPr>
          <w:rFonts w:ascii="黑体" w:hAnsi="黑体" w:eastAsia="黑体" w:cs="黑体"/>
          <w:spacing w:val="8"/>
          <w:highlight w:val="none"/>
        </w:rPr>
        <w:t>第</w:t>
      </w:r>
      <w:r>
        <w:rPr>
          <w:rFonts w:hint="eastAsia" w:ascii="黑体" w:hAnsi="黑体" w:eastAsia="黑体" w:cs="黑体"/>
          <w:spacing w:val="8"/>
          <w:highlight w:val="none"/>
          <w:lang w:eastAsia="zh-CN"/>
        </w:rPr>
        <w:t>四</w:t>
      </w:r>
      <w:r>
        <w:rPr>
          <w:rFonts w:ascii="黑体" w:hAnsi="黑体" w:eastAsia="黑体" w:cs="黑体"/>
          <w:spacing w:val="8"/>
          <w:highlight w:val="none"/>
        </w:rPr>
        <w:t>节 关联方交易情况</w:t>
      </w:r>
    </w:p>
    <w:p w14:paraId="6DEE0AC5">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eastAsia" w:ascii="楷体" w:hAnsi="楷体" w:eastAsia="楷体" w:cs="楷体"/>
          <w:b w:val="0"/>
          <w:bCs w:val="0"/>
          <w:spacing w:val="5"/>
          <w:sz w:val="32"/>
          <w:szCs w:val="32"/>
        </w:rPr>
      </w:pPr>
      <w:r>
        <w:rPr>
          <w:rFonts w:hint="eastAsia" w:ascii="楷体" w:hAnsi="楷体" w:eastAsia="楷体" w:cs="楷体"/>
          <w:b w:val="0"/>
          <w:bCs w:val="0"/>
          <w:spacing w:val="5"/>
          <w:sz w:val="32"/>
          <w:szCs w:val="32"/>
        </w:rPr>
        <w:t>（一）关联方</w:t>
      </w:r>
    </w:p>
    <w:p w14:paraId="2B7B9FA4">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本行的关联方包括持有本行5%及5%以上股份的股东，本行董事、监事、高级管理人员及与其关系密切的家庭成员（以下简称“关键管理人员及其近亲属”），关键管理人员及其近亲属直接、间接、共同控制或可施加重大影响的法人或其他组织（以下简称“关键管理人员的关联单位”），本行的子公司、联营公司，以及持有本行5%及5%以上股份股东的控股股东及其控股子公司和施加重大影响的企业（以下简称“主要股东的关联法人”），持有本行5%及5%以上股份股东的董事、监事、高级管理人员（以下简称“主要股东的关联自然人”）。</w:t>
      </w:r>
    </w:p>
    <w:p w14:paraId="469EBF68">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default" w:ascii="Times New Roman" w:hAnsi="Times New Roman" w:eastAsia="楷体" w:cs="Times New Roman"/>
          <w:b w:val="0"/>
          <w:bCs w:val="0"/>
          <w:spacing w:val="5"/>
          <w:sz w:val="32"/>
          <w:szCs w:val="32"/>
        </w:rPr>
      </w:pPr>
      <w:r>
        <w:rPr>
          <w:rFonts w:hint="default" w:ascii="Times New Roman" w:hAnsi="Times New Roman" w:eastAsia="楷体" w:cs="Times New Roman"/>
          <w:b w:val="0"/>
          <w:bCs w:val="0"/>
          <w:spacing w:val="5"/>
          <w:sz w:val="32"/>
          <w:szCs w:val="32"/>
          <w:lang w:eastAsia="zh-CN"/>
        </w:rPr>
        <w:t>（二）</w:t>
      </w:r>
      <w:r>
        <w:rPr>
          <w:rFonts w:hint="default" w:ascii="Times New Roman" w:hAnsi="Times New Roman" w:eastAsia="楷体" w:cs="Times New Roman"/>
          <w:b w:val="0"/>
          <w:bCs w:val="0"/>
          <w:spacing w:val="5"/>
          <w:sz w:val="32"/>
          <w:szCs w:val="32"/>
        </w:rPr>
        <w:t>本行持股5%及以上股份的股东情况</w:t>
      </w:r>
    </w:p>
    <w:tbl>
      <w:tblPr>
        <w:tblStyle w:val="6"/>
        <w:tblW w:w="85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90"/>
        <w:gridCol w:w="1140"/>
        <w:gridCol w:w="1950"/>
        <w:gridCol w:w="1095"/>
        <w:gridCol w:w="1055"/>
        <w:gridCol w:w="1440"/>
      </w:tblGrid>
      <w:tr w14:paraId="4BC8B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890" w:type="dxa"/>
            <w:tcBorders>
              <w:top w:val="single" w:color="000000" w:sz="8" w:space="0"/>
              <w:left w:val="single" w:color="000000" w:sz="8" w:space="0"/>
              <w:bottom w:val="single" w:color="000000" w:sz="4" w:space="0"/>
              <w:right w:val="single" w:color="000000" w:sz="4" w:space="0"/>
            </w:tcBorders>
            <w:shd w:val="clear" w:color="auto" w:fill="0070C0"/>
            <w:vAlign w:val="center"/>
          </w:tcPr>
          <w:p w14:paraId="450F11FB">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股东名称</w:t>
            </w:r>
          </w:p>
        </w:tc>
        <w:tc>
          <w:tcPr>
            <w:tcW w:w="114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79DDFC76">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注册地</w:t>
            </w:r>
          </w:p>
        </w:tc>
        <w:tc>
          <w:tcPr>
            <w:tcW w:w="195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63DB9158">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主营业务</w:t>
            </w:r>
          </w:p>
        </w:tc>
        <w:tc>
          <w:tcPr>
            <w:tcW w:w="109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7B82598B">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注册资本 （万元）</w:t>
            </w:r>
          </w:p>
        </w:tc>
        <w:tc>
          <w:tcPr>
            <w:tcW w:w="105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5C2740BA">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持股数</w:t>
            </w:r>
          </w:p>
          <w:p w14:paraId="2EFF8635">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（万股）</w:t>
            </w:r>
          </w:p>
        </w:tc>
        <w:tc>
          <w:tcPr>
            <w:tcW w:w="1440" w:type="dxa"/>
            <w:tcBorders>
              <w:top w:val="single" w:color="000000" w:sz="8" w:space="0"/>
              <w:left w:val="single" w:color="000000" w:sz="4" w:space="0"/>
              <w:bottom w:val="single" w:color="000000" w:sz="4" w:space="0"/>
              <w:right w:val="single" w:color="000000" w:sz="8" w:space="0"/>
            </w:tcBorders>
            <w:shd w:val="clear" w:color="auto" w:fill="0070C0"/>
            <w:vAlign w:val="center"/>
          </w:tcPr>
          <w:p w14:paraId="40B804DF">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持股比例(%)</w:t>
            </w:r>
          </w:p>
        </w:tc>
      </w:tr>
      <w:tr w14:paraId="2D73D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B03EAD9">
            <w:pPr>
              <w:keepNext w:val="0"/>
              <w:keepLines w:val="0"/>
              <w:widowControl/>
              <w:suppressLineNumbers w:val="0"/>
              <w:jc w:val="center"/>
              <w:textAlignment w:val="center"/>
              <w:rPr>
                <w:rFonts w:ascii="Arial" w:hAnsi="Arial" w:eastAsia="宋体" w:cs="Arial"/>
                <w:i w:val="0"/>
                <w:iCs w:val="0"/>
                <w:color w:val="000000"/>
                <w:sz w:val="18"/>
                <w:szCs w:val="18"/>
                <w:u w:val="none"/>
              </w:rPr>
            </w:pPr>
            <w:r>
              <w:rPr>
                <w:rFonts w:hint="default" w:ascii="Arial" w:hAnsi="Arial" w:eastAsia="宋体" w:cs="Arial"/>
                <w:i w:val="0"/>
                <w:iCs w:val="0"/>
                <w:snapToGrid w:val="0"/>
                <w:color w:val="000000"/>
                <w:kern w:val="0"/>
                <w:sz w:val="18"/>
                <w:szCs w:val="18"/>
                <w:u w:val="none"/>
                <w:lang w:val="en-US" w:eastAsia="zh-CN" w:bidi="ar"/>
              </w:rPr>
              <w:t>金绣集团有限公司</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99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浙江义乌</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01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丝编制品制造与销售、实业投资等</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5D2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11000</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D0451">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144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7CAE411">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5.04</w:t>
            </w:r>
          </w:p>
        </w:tc>
      </w:tr>
      <w:tr w14:paraId="54EA4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E8A07BE">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snapToGrid w:val="0"/>
                <w:color w:val="000000"/>
                <w:kern w:val="0"/>
                <w:sz w:val="18"/>
                <w:szCs w:val="18"/>
                <w:u w:val="none"/>
                <w:lang w:val="en-US" w:eastAsia="zh-CN" w:bidi="ar"/>
              </w:rPr>
              <w:t>真爱集团有限公司</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7C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浙江义乌</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845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纺织品制造与销售、实业投资等</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83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53588</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ABB9">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144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FB45A7D">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5.02</w:t>
            </w:r>
          </w:p>
        </w:tc>
      </w:tr>
      <w:tr w14:paraId="6FA57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00EEA800">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snapToGrid w:val="0"/>
                <w:color w:val="000000"/>
                <w:kern w:val="0"/>
                <w:sz w:val="18"/>
                <w:szCs w:val="18"/>
                <w:u w:val="none"/>
                <w:lang w:val="en-US" w:eastAsia="zh-CN" w:bidi="ar"/>
              </w:rPr>
              <w:t>华统集团有限公司</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54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浙江义乌</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2D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实业投资、企业总部管理等</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8E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50097.5</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E438">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144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12745E6">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5.01</w:t>
            </w:r>
          </w:p>
        </w:tc>
      </w:tr>
      <w:tr w14:paraId="75A82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890"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0D9257">
            <w:pPr>
              <w:keepNext w:val="0"/>
              <w:keepLines w:val="0"/>
              <w:widowControl/>
              <w:suppressLineNumbers w:val="0"/>
              <w:jc w:val="center"/>
              <w:textAlignment w:val="center"/>
              <w:rPr>
                <w:rFonts w:hint="eastAsia" w:eastAsia="宋体" w:cs="Arial"/>
                <w:i w:val="0"/>
                <w:iCs w:val="0"/>
                <w:snapToGrid w:val="0"/>
                <w:color w:val="FF0000"/>
                <w:kern w:val="0"/>
                <w:sz w:val="18"/>
                <w:szCs w:val="18"/>
                <w:u w:val="none"/>
                <w:lang w:val="en-US" w:eastAsia="zh-CN" w:bidi="ar"/>
              </w:rPr>
            </w:pPr>
            <w:r>
              <w:rPr>
                <w:rFonts w:hint="default" w:ascii="Arial" w:hAnsi="Arial" w:eastAsia="宋体" w:cs="Arial"/>
                <w:i w:val="0"/>
                <w:iCs w:val="0"/>
                <w:snapToGrid w:val="0"/>
                <w:color w:val="FF0000"/>
                <w:kern w:val="0"/>
                <w:sz w:val="18"/>
                <w:szCs w:val="18"/>
                <w:u w:val="none"/>
                <w:lang w:val="en-US" w:eastAsia="zh-CN" w:bidi="ar"/>
              </w:rPr>
              <w:t>浙江省财开</w:t>
            </w:r>
            <w:r>
              <w:rPr>
                <w:rFonts w:hint="eastAsia" w:eastAsia="宋体" w:cs="Arial"/>
                <w:i w:val="0"/>
                <w:iCs w:val="0"/>
                <w:snapToGrid w:val="0"/>
                <w:color w:val="FF0000"/>
                <w:kern w:val="0"/>
                <w:sz w:val="18"/>
                <w:szCs w:val="18"/>
                <w:u w:val="none"/>
                <w:lang w:val="en-US" w:eastAsia="zh-CN" w:bidi="ar"/>
              </w:rPr>
              <w:t>集团</w:t>
            </w:r>
          </w:p>
          <w:p w14:paraId="470CE037">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snapToGrid w:val="0"/>
                <w:color w:val="FF0000"/>
                <w:kern w:val="0"/>
                <w:sz w:val="18"/>
                <w:szCs w:val="18"/>
                <w:u w:val="none"/>
                <w:lang w:val="en-US" w:eastAsia="zh-CN" w:bidi="ar"/>
              </w:rPr>
              <w:t>有限公司</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37C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浙江杭州</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B4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管理运营政策性、功能性、财政性资产</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7AF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500000</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45C8">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144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D8802A3">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5</w:t>
            </w:r>
          </w:p>
        </w:tc>
      </w:tr>
      <w:tr w14:paraId="0E01B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890" w:type="dxa"/>
            <w:tcBorders>
              <w:top w:val="single" w:color="000000" w:sz="4" w:space="0"/>
              <w:left w:val="single" w:color="000000" w:sz="8" w:space="0"/>
              <w:bottom w:val="single" w:color="000000" w:sz="8" w:space="0"/>
              <w:right w:val="single" w:color="000000" w:sz="4" w:space="0"/>
            </w:tcBorders>
            <w:shd w:val="clear" w:color="auto" w:fill="auto"/>
            <w:vAlign w:val="center"/>
          </w:tcPr>
          <w:p w14:paraId="5FDD57E1">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snapToGrid w:val="0"/>
                <w:color w:val="000000"/>
                <w:kern w:val="0"/>
                <w:sz w:val="18"/>
                <w:szCs w:val="18"/>
                <w:u w:val="none"/>
                <w:lang w:val="en-US" w:eastAsia="zh-CN" w:bidi="ar"/>
              </w:rPr>
              <w:t>义乌市国有资本运营有限公司</w:t>
            </w:r>
          </w:p>
        </w:tc>
        <w:tc>
          <w:tcPr>
            <w:tcW w:w="114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2A0A63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浙江义乌</w:t>
            </w:r>
          </w:p>
        </w:tc>
        <w:tc>
          <w:tcPr>
            <w:tcW w:w="195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920D3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国有资本经营和国有股权管理</w:t>
            </w:r>
          </w:p>
        </w:tc>
        <w:tc>
          <w:tcPr>
            <w:tcW w:w="109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62DB944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snapToGrid w:val="0"/>
                <w:color w:val="000000"/>
                <w:kern w:val="0"/>
                <w:sz w:val="20"/>
                <w:szCs w:val="20"/>
                <w:u w:val="none"/>
                <w:lang w:val="en-US" w:eastAsia="zh-CN" w:bidi="ar"/>
              </w:rPr>
              <w:t>198000</w:t>
            </w:r>
          </w:p>
        </w:tc>
        <w:tc>
          <w:tcPr>
            <w:tcW w:w="105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AB9D732">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9413.86</w:t>
            </w:r>
          </w:p>
        </w:tc>
        <w:tc>
          <w:tcPr>
            <w:tcW w:w="1440" w:type="dxa"/>
            <w:tcBorders>
              <w:top w:val="single" w:color="000000" w:sz="4" w:space="0"/>
              <w:left w:val="single" w:color="000000" w:sz="4" w:space="0"/>
              <w:bottom w:val="single" w:color="000000" w:sz="8" w:space="0"/>
              <w:right w:val="single" w:color="000000" w:sz="8" w:space="0"/>
            </w:tcBorders>
            <w:shd w:val="clear" w:color="auto" w:fill="auto"/>
            <w:vAlign w:val="center"/>
          </w:tcPr>
          <w:p w14:paraId="1530E451">
            <w:pPr>
              <w:keepNext w:val="0"/>
              <w:keepLines w:val="0"/>
              <w:widowControl/>
              <w:suppressLineNumbers w:val="0"/>
              <w:jc w:val="center"/>
              <w:textAlignment w:val="center"/>
              <w:rPr>
                <w:rFonts w:hint="eastAsia" w:ascii="Times New Roman" w:hAnsi="Times New Roman" w:eastAsia="宋体"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snapToGrid w:val="0"/>
                <w:color w:val="000000"/>
                <w:kern w:val="0"/>
                <w:sz w:val="20"/>
                <w:szCs w:val="20"/>
                <w:u w:val="none"/>
                <w:lang w:val="en-US" w:eastAsia="zh-CN" w:bidi="ar"/>
              </w:rPr>
              <w:t>5</w:t>
            </w:r>
          </w:p>
        </w:tc>
      </w:tr>
    </w:tbl>
    <w:p w14:paraId="67C954CB">
      <w:pPr>
        <w:spacing w:line="14" w:lineRule="exact"/>
      </w:pPr>
    </w:p>
    <w:p w14:paraId="02E987AB">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eastAsia" w:ascii="Times New Roman" w:hAnsi="Times New Roman" w:eastAsia="楷体" w:cs="Times New Roman"/>
          <w:b w:val="0"/>
          <w:bCs w:val="0"/>
          <w:spacing w:val="5"/>
          <w:sz w:val="32"/>
          <w:szCs w:val="32"/>
        </w:rPr>
      </w:pPr>
      <w:r>
        <w:rPr>
          <w:rFonts w:hint="eastAsia" w:ascii="Times New Roman" w:hAnsi="Times New Roman" w:eastAsia="楷体" w:cs="Times New Roman"/>
          <w:b w:val="0"/>
          <w:bCs w:val="0"/>
          <w:spacing w:val="5"/>
          <w:sz w:val="32"/>
          <w:szCs w:val="32"/>
          <w:lang w:eastAsia="zh-CN"/>
        </w:rPr>
        <w:t>（三）</w:t>
      </w:r>
      <w:r>
        <w:rPr>
          <w:rFonts w:hint="eastAsia" w:ascii="Times New Roman" w:hAnsi="Times New Roman" w:eastAsia="楷体" w:cs="Times New Roman"/>
          <w:b w:val="0"/>
          <w:bCs w:val="0"/>
          <w:spacing w:val="5"/>
          <w:sz w:val="32"/>
          <w:szCs w:val="32"/>
        </w:rPr>
        <w:t>本行的子公司情况</w:t>
      </w:r>
    </w:p>
    <w:tbl>
      <w:tblPr>
        <w:tblStyle w:val="6"/>
        <w:tblW w:w="85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90"/>
        <w:gridCol w:w="1140"/>
        <w:gridCol w:w="1950"/>
        <w:gridCol w:w="1095"/>
        <w:gridCol w:w="1035"/>
        <w:gridCol w:w="1460"/>
      </w:tblGrid>
      <w:tr w14:paraId="20E87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890" w:type="dxa"/>
            <w:tcBorders>
              <w:top w:val="single" w:color="000000" w:sz="8" w:space="0"/>
              <w:left w:val="single" w:color="000000" w:sz="8" w:space="0"/>
              <w:bottom w:val="single" w:color="000000" w:sz="4" w:space="0"/>
              <w:right w:val="single" w:color="000000" w:sz="4" w:space="0"/>
            </w:tcBorders>
            <w:shd w:val="clear" w:color="auto" w:fill="0070C0"/>
            <w:vAlign w:val="center"/>
          </w:tcPr>
          <w:p w14:paraId="0744192A">
            <w:pPr>
              <w:keepNext w:val="0"/>
              <w:keepLines w:val="0"/>
              <w:widowControl/>
              <w:suppressLineNumbers w:val="0"/>
              <w:jc w:val="center"/>
              <w:textAlignment w:val="center"/>
              <w:rPr>
                <w:rFonts w:hint="eastAsia" w:ascii="宋体" w:hAnsi="宋体" w:eastAsia="宋体" w:cs="宋体"/>
                <w:i w:val="0"/>
                <w:iCs w:val="0"/>
                <w:color w:val="FFFFFF"/>
                <w:sz w:val="20"/>
                <w:szCs w:val="20"/>
                <w:u w:val="none"/>
              </w:rPr>
            </w:pPr>
            <w:r>
              <w:rPr>
                <w:rFonts w:hint="eastAsia" w:ascii="宋体" w:hAnsi="宋体" w:eastAsia="宋体" w:cs="宋体"/>
                <w:snapToGrid w:val="0"/>
                <w:color w:val="FFFFFF"/>
                <w:spacing w:val="7"/>
                <w:kern w:val="0"/>
                <w:sz w:val="20"/>
                <w:szCs w:val="20"/>
                <w:lang w:val="en-US" w:eastAsia="zh-CN" w:bidi="ar-SA"/>
              </w:rPr>
              <w:t>企业名称</w:t>
            </w:r>
          </w:p>
        </w:tc>
        <w:tc>
          <w:tcPr>
            <w:tcW w:w="114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2907310F">
            <w:pPr>
              <w:keepNext w:val="0"/>
              <w:keepLines w:val="0"/>
              <w:widowControl/>
              <w:suppressLineNumbers w:val="0"/>
              <w:jc w:val="center"/>
              <w:textAlignment w:val="center"/>
              <w:rPr>
                <w:rFonts w:hint="eastAsia" w:ascii="宋体" w:hAnsi="宋体" w:eastAsia="宋体" w:cs="宋体"/>
                <w:i w:val="0"/>
                <w:iCs w:val="0"/>
                <w:color w:val="FFFFFF"/>
                <w:sz w:val="20"/>
                <w:szCs w:val="20"/>
                <w:u w:val="none"/>
              </w:rPr>
            </w:pPr>
            <w:r>
              <w:rPr>
                <w:rFonts w:hint="eastAsia" w:ascii="宋体" w:hAnsi="宋体" w:eastAsia="宋体" w:cs="宋体"/>
                <w:snapToGrid w:val="0"/>
                <w:color w:val="FFFFFF"/>
                <w:spacing w:val="7"/>
                <w:kern w:val="0"/>
                <w:sz w:val="20"/>
                <w:szCs w:val="20"/>
                <w:lang w:val="en-US" w:eastAsia="zh-CN" w:bidi="ar-SA"/>
              </w:rPr>
              <w:t>注册地</w:t>
            </w:r>
          </w:p>
        </w:tc>
        <w:tc>
          <w:tcPr>
            <w:tcW w:w="1950"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2EF179F5">
            <w:pPr>
              <w:keepNext w:val="0"/>
              <w:keepLines w:val="0"/>
              <w:widowControl/>
              <w:suppressLineNumbers w:val="0"/>
              <w:jc w:val="center"/>
              <w:textAlignment w:val="center"/>
              <w:rPr>
                <w:rFonts w:hint="eastAsia" w:ascii="宋体" w:hAnsi="宋体" w:eastAsia="宋体" w:cs="宋体"/>
                <w:i w:val="0"/>
                <w:iCs w:val="0"/>
                <w:color w:val="FFFFFF"/>
                <w:sz w:val="20"/>
                <w:szCs w:val="20"/>
                <w:u w:val="none"/>
              </w:rPr>
            </w:pPr>
            <w:r>
              <w:rPr>
                <w:rFonts w:hint="eastAsia" w:ascii="宋体" w:hAnsi="宋体" w:eastAsia="宋体" w:cs="宋体"/>
                <w:snapToGrid w:val="0"/>
                <w:color w:val="FFFFFF"/>
                <w:spacing w:val="7"/>
                <w:kern w:val="0"/>
                <w:sz w:val="20"/>
                <w:szCs w:val="20"/>
                <w:lang w:val="en-US" w:eastAsia="zh-CN" w:bidi="ar-SA"/>
              </w:rPr>
              <w:t>业务性质</w:t>
            </w:r>
          </w:p>
        </w:tc>
        <w:tc>
          <w:tcPr>
            <w:tcW w:w="109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14224E3C">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注册资本（万元）</w:t>
            </w:r>
          </w:p>
        </w:tc>
        <w:tc>
          <w:tcPr>
            <w:tcW w:w="1035"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590523C0">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持股比例（%）</w:t>
            </w:r>
          </w:p>
        </w:tc>
        <w:tc>
          <w:tcPr>
            <w:tcW w:w="1460" w:type="dxa"/>
            <w:tcBorders>
              <w:top w:val="single" w:color="000000" w:sz="8" w:space="0"/>
              <w:left w:val="single" w:color="000000" w:sz="4" w:space="0"/>
              <w:bottom w:val="single" w:color="000000" w:sz="4" w:space="0"/>
              <w:right w:val="single" w:color="000000" w:sz="8" w:space="0"/>
            </w:tcBorders>
            <w:shd w:val="clear" w:color="auto" w:fill="0070C0"/>
            <w:vAlign w:val="center"/>
          </w:tcPr>
          <w:p w14:paraId="2C642EA2">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投资额</w:t>
            </w:r>
          </w:p>
          <w:p w14:paraId="1378E3F2">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（万元）</w:t>
            </w:r>
          </w:p>
        </w:tc>
      </w:tr>
      <w:tr w14:paraId="19D8F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890" w:type="dxa"/>
            <w:tcBorders>
              <w:top w:val="single" w:color="000000" w:sz="4" w:space="0"/>
              <w:left w:val="single" w:color="000000" w:sz="8" w:space="0"/>
              <w:bottom w:val="single" w:color="000000" w:sz="8" w:space="0"/>
              <w:right w:val="single" w:color="000000" w:sz="4" w:space="0"/>
            </w:tcBorders>
            <w:shd w:val="clear" w:color="auto" w:fill="auto"/>
            <w:vAlign w:val="center"/>
          </w:tcPr>
          <w:p w14:paraId="0664F6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浙江龙游义商村 镇银行有限公司</w:t>
            </w:r>
          </w:p>
        </w:tc>
        <w:tc>
          <w:tcPr>
            <w:tcW w:w="114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1CF32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浙江龙游</w:t>
            </w:r>
          </w:p>
        </w:tc>
        <w:tc>
          <w:tcPr>
            <w:tcW w:w="195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72EFB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金融业</w:t>
            </w:r>
          </w:p>
        </w:tc>
        <w:tc>
          <w:tcPr>
            <w:tcW w:w="109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B5526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11000</w:t>
            </w:r>
          </w:p>
        </w:tc>
        <w:tc>
          <w:tcPr>
            <w:tcW w:w="103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606B31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snapToGrid w:val="0"/>
                <w:color w:val="auto"/>
                <w:kern w:val="0"/>
                <w:sz w:val="20"/>
                <w:szCs w:val="20"/>
                <w:highlight w:val="none"/>
                <w:u w:val="none"/>
                <w:lang w:val="en-US" w:eastAsia="zh-CN" w:bidi="ar"/>
              </w:rPr>
              <w:t>81.3125%</w:t>
            </w:r>
          </w:p>
        </w:tc>
        <w:tc>
          <w:tcPr>
            <w:tcW w:w="1460" w:type="dxa"/>
            <w:tcBorders>
              <w:top w:val="single" w:color="000000" w:sz="4" w:space="0"/>
              <w:left w:val="single" w:color="000000" w:sz="4" w:space="0"/>
              <w:bottom w:val="single" w:color="000000" w:sz="8" w:space="0"/>
              <w:right w:val="single" w:color="000000" w:sz="8" w:space="0"/>
            </w:tcBorders>
            <w:shd w:val="clear" w:color="auto" w:fill="auto"/>
            <w:vAlign w:val="center"/>
          </w:tcPr>
          <w:p w14:paraId="2019FFC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eastAsia" w:ascii="Times New Roman" w:hAnsi="Times New Roman" w:eastAsia="宋体" w:cs="Times New Roman"/>
                <w:i w:val="0"/>
                <w:iCs w:val="0"/>
                <w:snapToGrid w:val="0"/>
                <w:color w:val="auto"/>
                <w:kern w:val="0"/>
                <w:sz w:val="20"/>
                <w:szCs w:val="20"/>
                <w:highlight w:val="none"/>
                <w:u w:val="none"/>
                <w:lang w:val="en-US" w:eastAsia="zh-CN" w:bidi="ar"/>
              </w:rPr>
              <w:t>11705.01</w:t>
            </w:r>
          </w:p>
        </w:tc>
      </w:tr>
    </w:tbl>
    <w:p w14:paraId="0442ADBE">
      <w:pPr>
        <w:spacing w:line="42" w:lineRule="auto"/>
        <w:jc w:val="center"/>
        <w:rPr>
          <w:rFonts w:ascii="Arial"/>
          <w:sz w:val="2"/>
        </w:rPr>
      </w:pPr>
    </w:p>
    <w:p w14:paraId="72EA5DFB">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60" w:firstLineChars="200"/>
        <w:textAlignment w:val="baseline"/>
        <w:rPr>
          <w:rFonts w:hint="default" w:ascii="Times New Roman" w:hAnsi="Times New Roman" w:eastAsia="楷体" w:cs="Times New Roman"/>
          <w:b w:val="0"/>
          <w:bCs w:val="0"/>
          <w:spacing w:val="5"/>
          <w:sz w:val="32"/>
          <w:szCs w:val="32"/>
          <w:lang w:eastAsia="zh-CN"/>
        </w:rPr>
      </w:pPr>
      <w:r>
        <w:rPr>
          <w:rFonts w:hint="default" w:ascii="Times New Roman" w:hAnsi="Times New Roman" w:eastAsia="楷体" w:cs="Times New Roman"/>
          <w:b w:val="0"/>
          <w:bCs w:val="0"/>
          <w:spacing w:val="5"/>
          <w:sz w:val="32"/>
          <w:szCs w:val="32"/>
          <w:lang w:eastAsia="zh-CN"/>
        </w:rPr>
        <w:t>（四）关联交易情况</w:t>
      </w:r>
    </w:p>
    <w:p w14:paraId="420759DF">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640" w:firstLineChars="200"/>
        <w:jc w:val="both"/>
        <w:textAlignment w:val="baseline"/>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本行的关联交易遵守法律、行政法规、国家统一的会计制度和有关的银行业监督管理规定，按照商业原则，以不优于对非关联方同类交易的条件进行。</w:t>
      </w:r>
    </w:p>
    <w:p w14:paraId="0F9B12F0">
      <w:pPr>
        <w:keepNext w:val="0"/>
        <w:keepLines w:val="0"/>
        <w:pageBreakBefore w:val="0"/>
        <w:widowControl/>
        <w:kinsoku w:val="0"/>
        <w:wordWrap/>
        <w:overflowPunct/>
        <w:topLinePunct w:val="0"/>
        <w:autoSpaceDE w:val="0"/>
        <w:autoSpaceDN w:val="0"/>
        <w:bidi w:val="0"/>
        <w:adjustRightInd w:val="0"/>
        <w:snapToGrid w:val="0"/>
        <w:spacing w:line="520" w:lineRule="exact"/>
        <w:ind w:firstLine="643" w:firstLineChars="200"/>
        <w:textAlignment w:val="baseline"/>
        <w:rPr>
          <w:rFonts w:hint="eastAsia" w:ascii="仿宋" w:hAnsi="仿宋" w:eastAsia="仿宋" w:cs="仿宋"/>
          <w:b/>
          <w:bCs/>
          <w:highlight w:val="none"/>
          <w:lang w:eastAsia="zh-CN"/>
        </w:rPr>
      </w:pPr>
      <w:r>
        <w:rPr>
          <w:rFonts w:hint="eastAsia" w:ascii="仿宋" w:hAnsi="仿宋" w:eastAsia="仿宋" w:cs="仿宋"/>
          <w:b/>
          <w:bCs/>
          <w:sz w:val="32"/>
          <w:szCs w:val="32"/>
          <w:highlight w:val="none"/>
          <w:lang w:eastAsia="zh-CN"/>
        </w:rPr>
        <w:t>报告期末</w:t>
      </w:r>
      <w:r>
        <w:rPr>
          <w:rFonts w:hint="eastAsia" w:ascii="仿宋" w:hAnsi="仿宋" w:eastAsia="仿宋" w:cs="仿宋"/>
          <w:b/>
          <w:bCs/>
          <w:sz w:val="32"/>
          <w:szCs w:val="32"/>
          <w:highlight w:val="none"/>
        </w:rPr>
        <w:t>贷款</w:t>
      </w:r>
      <w:r>
        <w:rPr>
          <w:rFonts w:hint="eastAsia" w:ascii="仿宋" w:hAnsi="仿宋" w:eastAsia="仿宋" w:cs="仿宋"/>
          <w:b/>
          <w:bCs/>
          <w:sz w:val="32"/>
          <w:szCs w:val="32"/>
          <w:highlight w:val="none"/>
          <w:lang w:eastAsia="zh-CN"/>
        </w:rPr>
        <w:t>余额</w:t>
      </w:r>
    </w:p>
    <w:tbl>
      <w:tblPr>
        <w:tblStyle w:val="6"/>
        <w:tblW w:w="8540" w:type="dxa"/>
        <w:tblInd w:w="93" w:type="dxa"/>
        <w:tblLayout w:type="fixed"/>
        <w:tblCellMar>
          <w:top w:w="0" w:type="dxa"/>
          <w:left w:w="108" w:type="dxa"/>
          <w:bottom w:w="0" w:type="dxa"/>
          <w:right w:w="108" w:type="dxa"/>
        </w:tblCellMar>
      </w:tblPr>
      <w:tblGrid>
        <w:gridCol w:w="4055"/>
        <w:gridCol w:w="2277"/>
        <w:gridCol w:w="2208"/>
      </w:tblGrid>
      <w:tr w14:paraId="2E0668B1">
        <w:tblPrEx>
          <w:tblCellMar>
            <w:top w:w="0" w:type="dxa"/>
            <w:left w:w="108" w:type="dxa"/>
            <w:bottom w:w="0" w:type="dxa"/>
            <w:right w:w="108" w:type="dxa"/>
          </w:tblCellMar>
        </w:tblPrEx>
        <w:trPr>
          <w:trHeight w:val="420" w:hRule="atLeast"/>
        </w:trPr>
        <w:tc>
          <w:tcPr>
            <w:tcW w:w="4055" w:type="dxa"/>
            <w:tcBorders>
              <w:top w:val="single" w:color="000000" w:sz="8" w:space="0"/>
              <w:left w:val="nil"/>
              <w:bottom w:val="single" w:color="000000" w:sz="4" w:space="0"/>
              <w:right w:val="single" w:color="000000" w:sz="4" w:space="0"/>
            </w:tcBorders>
            <w:shd w:val="clear" w:color="auto" w:fill="0070C0"/>
            <w:vAlign w:val="center"/>
          </w:tcPr>
          <w:p w14:paraId="7F3A68FB">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项目</w:t>
            </w:r>
          </w:p>
        </w:tc>
        <w:tc>
          <w:tcPr>
            <w:tcW w:w="2277" w:type="dxa"/>
            <w:tcBorders>
              <w:top w:val="single" w:color="000000" w:sz="8" w:space="0"/>
              <w:left w:val="single" w:color="000000" w:sz="4" w:space="0"/>
              <w:bottom w:val="single" w:color="000000" w:sz="4" w:space="0"/>
              <w:right w:val="single" w:color="000000" w:sz="4" w:space="0"/>
            </w:tcBorders>
            <w:shd w:val="clear" w:color="auto" w:fill="0070C0"/>
            <w:vAlign w:val="center"/>
          </w:tcPr>
          <w:p w14:paraId="427A6B18">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2025年三季度末余额</w:t>
            </w:r>
          </w:p>
          <w:p w14:paraId="26749E74">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（万元）</w:t>
            </w:r>
          </w:p>
        </w:tc>
        <w:tc>
          <w:tcPr>
            <w:tcW w:w="2208" w:type="dxa"/>
            <w:tcBorders>
              <w:top w:val="single" w:color="000000" w:sz="8" w:space="0"/>
              <w:left w:val="single" w:color="000000" w:sz="4" w:space="0"/>
              <w:bottom w:val="single" w:color="000000" w:sz="4" w:space="0"/>
              <w:right w:val="nil"/>
            </w:tcBorders>
            <w:shd w:val="clear" w:color="auto" w:fill="0070C0"/>
            <w:vAlign w:val="center"/>
          </w:tcPr>
          <w:p w14:paraId="6A3A047B">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上季度末余额</w:t>
            </w:r>
          </w:p>
          <w:p w14:paraId="42A51EF2">
            <w:pPr>
              <w:keepNext w:val="0"/>
              <w:keepLines w:val="0"/>
              <w:widowControl/>
              <w:suppressLineNumbers w:val="0"/>
              <w:jc w:val="center"/>
              <w:textAlignment w:val="center"/>
              <w:rPr>
                <w:rFonts w:hint="eastAsia" w:ascii="宋体" w:hAnsi="宋体" w:eastAsia="宋体" w:cs="宋体"/>
                <w:snapToGrid w:val="0"/>
                <w:color w:val="FFFFFF"/>
                <w:spacing w:val="7"/>
                <w:kern w:val="0"/>
                <w:sz w:val="20"/>
                <w:szCs w:val="20"/>
                <w:lang w:val="en-US" w:eastAsia="zh-CN" w:bidi="ar-SA"/>
              </w:rPr>
            </w:pPr>
            <w:r>
              <w:rPr>
                <w:rFonts w:hint="eastAsia" w:ascii="宋体" w:hAnsi="宋体" w:eastAsia="宋体" w:cs="宋体"/>
                <w:snapToGrid w:val="0"/>
                <w:color w:val="FFFFFF"/>
                <w:spacing w:val="7"/>
                <w:kern w:val="0"/>
                <w:sz w:val="20"/>
                <w:szCs w:val="20"/>
                <w:lang w:val="en-US" w:eastAsia="zh-CN" w:bidi="ar-SA"/>
              </w:rPr>
              <w:t>（万元）</w:t>
            </w:r>
          </w:p>
        </w:tc>
      </w:tr>
      <w:tr w14:paraId="33F9681E">
        <w:tblPrEx>
          <w:tblCellMar>
            <w:top w:w="0" w:type="dxa"/>
            <w:left w:w="108" w:type="dxa"/>
            <w:bottom w:w="0" w:type="dxa"/>
            <w:right w:w="108" w:type="dxa"/>
          </w:tblCellMar>
        </w:tblPrEx>
        <w:trPr>
          <w:trHeight w:val="495" w:hRule="atLeast"/>
        </w:trPr>
        <w:tc>
          <w:tcPr>
            <w:tcW w:w="4055" w:type="dxa"/>
            <w:tcBorders>
              <w:top w:val="single" w:color="000000" w:sz="4" w:space="0"/>
              <w:left w:val="nil"/>
              <w:bottom w:val="single" w:color="000000" w:sz="4" w:space="0"/>
              <w:right w:val="single" w:color="000000" w:sz="4" w:space="0"/>
            </w:tcBorders>
            <w:shd w:val="clear" w:color="auto" w:fill="auto"/>
            <w:vAlign w:val="center"/>
          </w:tcPr>
          <w:p w14:paraId="715800B2">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持有或控制银行机构</w:t>
            </w:r>
            <w:r>
              <w:rPr>
                <w:rFonts w:ascii="Times New Roman" w:hAnsi="Times New Roman" w:eastAsia="宋体" w:cs="Times New Roman"/>
                <w:sz w:val="20"/>
                <w:szCs w:val="20"/>
                <w:lang w:eastAsia="zh-CN"/>
              </w:rPr>
              <w:t>5%</w:t>
            </w:r>
            <w:r>
              <w:rPr>
                <w:rFonts w:hint="eastAsia" w:ascii="宋体" w:hAnsi="宋体" w:eastAsia="宋体" w:cs="宋体"/>
                <w:sz w:val="20"/>
                <w:szCs w:val="20"/>
                <w:lang w:eastAsia="zh-CN"/>
              </w:rPr>
              <w:t>及以上股权的股东</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C56B4">
            <w:pPr>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35260.00</w:t>
            </w:r>
          </w:p>
        </w:tc>
        <w:tc>
          <w:tcPr>
            <w:tcW w:w="2208" w:type="dxa"/>
            <w:tcBorders>
              <w:top w:val="single" w:color="000000" w:sz="4" w:space="0"/>
              <w:left w:val="single" w:color="000000" w:sz="4" w:space="0"/>
              <w:bottom w:val="single" w:color="000000" w:sz="4" w:space="0"/>
              <w:right w:val="nil"/>
            </w:tcBorders>
            <w:shd w:val="clear" w:color="auto" w:fill="auto"/>
            <w:vAlign w:val="center"/>
          </w:tcPr>
          <w:p w14:paraId="1981B05D">
            <w:pPr>
              <w:rPr>
                <w:rFonts w:hint="default" w:ascii="Times New Roman" w:hAnsi="Times New Roman" w:eastAsia="宋体" w:cs="Times New Roman"/>
                <w:sz w:val="20"/>
                <w:szCs w:val="20"/>
                <w:highlight w:val="yellow"/>
                <w:lang w:val="en-US" w:eastAsia="zh-CN"/>
              </w:rPr>
            </w:pPr>
            <w:r>
              <w:rPr>
                <w:rFonts w:hint="eastAsia" w:ascii="Times New Roman" w:hAnsi="Times New Roman" w:eastAsia="宋体" w:cs="Times New Roman"/>
                <w:sz w:val="20"/>
                <w:szCs w:val="20"/>
                <w:highlight w:val="none"/>
                <w:lang w:val="en-US" w:eastAsia="zh-CN"/>
              </w:rPr>
              <w:t>42550.00</w:t>
            </w:r>
          </w:p>
        </w:tc>
      </w:tr>
      <w:tr w14:paraId="19DE5E4E">
        <w:tblPrEx>
          <w:tblCellMar>
            <w:top w:w="0" w:type="dxa"/>
            <w:left w:w="108" w:type="dxa"/>
            <w:bottom w:w="0" w:type="dxa"/>
            <w:right w:w="108" w:type="dxa"/>
          </w:tblCellMar>
        </w:tblPrEx>
        <w:trPr>
          <w:trHeight w:val="480" w:hRule="atLeast"/>
        </w:trPr>
        <w:tc>
          <w:tcPr>
            <w:tcW w:w="4055" w:type="dxa"/>
            <w:tcBorders>
              <w:top w:val="single" w:color="000000" w:sz="4" w:space="0"/>
              <w:left w:val="nil"/>
              <w:bottom w:val="single" w:color="000000" w:sz="4" w:space="0"/>
              <w:right w:val="single" w:color="000000" w:sz="4" w:space="0"/>
            </w:tcBorders>
            <w:shd w:val="clear" w:color="auto" w:fill="auto"/>
            <w:vAlign w:val="center"/>
          </w:tcPr>
          <w:p w14:paraId="0BBFB3F7">
            <w:pPr>
              <w:textAlignment w:val="center"/>
              <w:rPr>
                <w:rFonts w:ascii="宋体" w:hAnsi="宋体" w:eastAsia="宋体" w:cs="宋体"/>
                <w:sz w:val="20"/>
                <w:szCs w:val="20"/>
              </w:rPr>
            </w:pPr>
            <w:r>
              <w:rPr>
                <w:rFonts w:hint="eastAsia" w:ascii="宋体" w:hAnsi="宋体" w:eastAsia="宋体" w:cs="宋体"/>
                <w:sz w:val="20"/>
                <w:szCs w:val="20"/>
                <w:lang w:eastAsia="zh-CN"/>
              </w:rPr>
              <w:t>主要股东的关联法人</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EAB85">
            <w:pPr>
              <w:rPr>
                <w:rFonts w:hint="default" w:ascii="Times New Roman" w:hAnsi="Times New Roman" w:eastAsia="宋体" w:cs="Times New Roman"/>
                <w:sz w:val="20"/>
                <w:szCs w:val="20"/>
                <w:highlight w:val="none"/>
                <w:lang w:val="en-US"/>
              </w:rPr>
            </w:pPr>
            <w:r>
              <w:rPr>
                <w:rFonts w:hint="eastAsia" w:ascii="Times New Roman" w:hAnsi="Times New Roman" w:eastAsia="宋体" w:cs="Times New Roman"/>
                <w:sz w:val="20"/>
                <w:szCs w:val="20"/>
                <w:highlight w:val="none"/>
                <w:lang w:val="en-US" w:eastAsia="zh-CN"/>
              </w:rPr>
              <w:t>458073.82</w:t>
            </w:r>
          </w:p>
        </w:tc>
        <w:tc>
          <w:tcPr>
            <w:tcW w:w="2208" w:type="dxa"/>
            <w:tcBorders>
              <w:top w:val="single" w:color="000000" w:sz="4" w:space="0"/>
              <w:left w:val="single" w:color="000000" w:sz="4" w:space="0"/>
              <w:bottom w:val="single" w:color="000000" w:sz="4" w:space="0"/>
              <w:right w:val="nil"/>
            </w:tcBorders>
            <w:shd w:val="clear" w:color="auto" w:fill="auto"/>
            <w:vAlign w:val="center"/>
          </w:tcPr>
          <w:p w14:paraId="6E23B372">
            <w:pPr>
              <w:rPr>
                <w:rFonts w:hint="default" w:ascii="Times New Roman" w:hAnsi="Times New Roman" w:eastAsia="宋体" w:cs="Times New Roman"/>
                <w:sz w:val="20"/>
                <w:szCs w:val="20"/>
                <w:highlight w:val="yellow"/>
                <w:lang w:val="en-US" w:eastAsia="zh-CN"/>
              </w:rPr>
            </w:pPr>
            <w:r>
              <w:rPr>
                <w:rFonts w:hint="eastAsia" w:ascii="Times New Roman" w:hAnsi="Times New Roman" w:eastAsia="宋体" w:cs="Times New Roman"/>
                <w:sz w:val="20"/>
                <w:szCs w:val="20"/>
                <w:highlight w:val="none"/>
                <w:lang w:val="en-US" w:eastAsia="zh-CN"/>
              </w:rPr>
              <w:t>448998.82</w:t>
            </w:r>
          </w:p>
        </w:tc>
      </w:tr>
      <w:tr w14:paraId="2EF7D56E">
        <w:tblPrEx>
          <w:tblCellMar>
            <w:top w:w="0" w:type="dxa"/>
            <w:left w:w="108" w:type="dxa"/>
            <w:bottom w:w="0" w:type="dxa"/>
            <w:right w:w="108" w:type="dxa"/>
          </w:tblCellMar>
        </w:tblPrEx>
        <w:trPr>
          <w:trHeight w:val="455" w:hRule="atLeast"/>
        </w:trPr>
        <w:tc>
          <w:tcPr>
            <w:tcW w:w="4055" w:type="dxa"/>
            <w:tcBorders>
              <w:top w:val="single" w:color="000000" w:sz="4" w:space="0"/>
              <w:left w:val="nil"/>
              <w:bottom w:val="single" w:color="000000" w:sz="4" w:space="0"/>
              <w:right w:val="single" w:color="000000" w:sz="4" w:space="0"/>
            </w:tcBorders>
            <w:shd w:val="clear" w:color="auto" w:fill="auto"/>
            <w:vAlign w:val="center"/>
          </w:tcPr>
          <w:p w14:paraId="389C873F">
            <w:pPr>
              <w:textAlignment w:val="center"/>
              <w:rPr>
                <w:rFonts w:ascii="宋体" w:hAnsi="宋体" w:eastAsia="宋体" w:cs="宋体"/>
                <w:sz w:val="20"/>
                <w:szCs w:val="20"/>
              </w:rPr>
            </w:pPr>
            <w:r>
              <w:rPr>
                <w:rFonts w:hint="eastAsia" w:ascii="宋体" w:hAnsi="宋体" w:eastAsia="宋体" w:cs="宋体"/>
                <w:sz w:val="20"/>
                <w:szCs w:val="20"/>
                <w:lang w:eastAsia="zh-CN"/>
              </w:rPr>
              <w:t>关键管理人员及其近亲属</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D3AC0">
            <w:pPr>
              <w:rPr>
                <w:rFonts w:hint="default" w:ascii="Times New Roman" w:hAnsi="Times New Roman" w:eastAsia="宋体" w:cs="Times New Roman"/>
                <w:sz w:val="20"/>
                <w:szCs w:val="20"/>
                <w:highlight w:val="none"/>
                <w:lang w:val="en-US"/>
              </w:rPr>
            </w:pPr>
            <w:r>
              <w:rPr>
                <w:rFonts w:hint="eastAsia" w:ascii="Times New Roman" w:hAnsi="Times New Roman" w:eastAsia="宋体" w:cs="Times New Roman"/>
                <w:sz w:val="20"/>
                <w:szCs w:val="20"/>
                <w:highlight w:val="none"/>
                <w:lang w:val="en-US" w:eastAsia="zh-CN"/>
              </w:rPr>
              <w:t>1038.79</w:t>
            </w:r>
          </w:p>
        </w:tc>
        <w:tc>
          <w:tcPr>
            <w:tcW w:w="2208" w:type="dxa"/>
            <w:tcBorders>
              <w:top w:val="single" w:color="000000" w:sz="4" w:space="0"/>
              <w:left w:val="single" w:color="000000" w:sz="4" w:space="0"/>
              <w:bottom w:val="single" w:color="000000" w:sz="4" w:space="0"/>
              <w:right w:val="nil"/>
            </w:tcBorders>
            <w:shd w:val="clear" w:color="auto" w:fill="auto"/>
            <w:vAlign w:val="center"/>
          </w:tcPr>
          <w:p w14:paraId="19D4CBF4">
            <w:pPr>
              <w:rPr>
                <w:rFonts w:hint="default" w:ascii="Times New Roman" w:hAnsi="Times New Roman" w:eastAsia="宋体" w:cs="Times New Roman"/>
                <w:sz w:val="20"/>
                <w:szCs w:val="20"/>
                <w:highlight w:val="yellow"/>
                <w:lang w:val="en-US" w:eastAsia="zh-CN"/>
              </w:rPr>
            </w:pPr>
            <w:r>
              <w:rPr>
                <w:rFonts w:hint="eastAsia" w:ascii="Times New Roman" w:hAnsi="Times New Roman" w:eastAsia="宋体" w:cs="Times New Roman"/>
                <w:sz w:val="20"/>
                <w:szCs w:val="20"/>
                <w:highlight w:val="none"/>
                <w:lang w:val="en-US" w:eastAsia="zh-CN"/>
              </w:rPr>
              <w:t>9054.86</w:t>
            </w:r>
          </w:p>
        </w:tc>
      </w:tr>
      <w:tr w14:paraId="51B21088">
        <w:tblPrEx>
          <w:tblCellMar>
            <w:top w:w="0" w:type="dxa"/>
            <w:left w:w="108" w:type="dxa"/>
            <w:bottom w:w="0" w:type="dxa"/>
            <w:right w:w="108" w:type="dxa"/>
          </w:tblCellMar>
        </w:tblPrEx>
        <w:trPr>
          <w:trHeight w:val="285" w:hRule="atLeast"/>
        </w:trPr>
        <w:tc>
          <w:tcPr>
            <w:tcW w:w="4055" w:type="dxa"/>
            <w:tcBorders>
              <w:top w:val="single" w:color="000000" w:sz="4" w:space="0"/>
              <w:left w:val="nil"/>
              <w:bottom w:val="single" w:color="000000" w:sz="4" w:space="0"/>
              <w:right w:val="single" w:color="000000" w:sz="4" w:space="0"/>
            </w:tcBorders>
            <w:shd w:val="clear" w:color="auto" w:fill="auto"/>
            <w:vAlign w:val="center"/>
          </w:tcPr>
          <w:p w14:paraId="4A386FA1">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高级管理人员、大额授信或资产转移核心业务审批或决策人员、其近亲属等人员以及控制的企业的贷款、透支</w:t>
            </w:r>
          </w:p>
        </w:tc>
        <w:tc>
          <w:tcPr>
            <w:tcW w:w="2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8ADBD">
            <w:pPr>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18707.34</w:t>
            </w:r>
          </w:p>
        </w:tc>
        <w:tc>
          <w:tcPr>
            <w:tcW w:w="2208" w:type="dxa"/>
            <w:tcBorders>
              <w:top w:val="single" w:color="000000" w:sz="4" w:space="0"/>
              <w:left w:val="single" w:color="000000" w:sz="4" w:space="0"/>
              <w:bottom w:val="single" w:color="000000" w:sz="4" w:space="0"/>
              <w:right w:val="nil"/>
            </w:tcBorders>
            <w:shd w:val="clear" w:color="auto" w:fill="auto"/>
            <w:vAlign w:val="center"/>
          </w:tcPr>
          <w:p w14:paraId="7F35EDC3">
            <w:pPr>
              <w:rPr>
                <w:rFonts w:hint="default" w:ascii="Times New Roman" w:hAnsi="Times New Roman" w:eastAsia="宋体" w:cs="Times New Roman"/>
                <w:sz w:val="20"/>
                <w:szCs w:val="20"/>
                <w:highlight w:val="yellow"/>
                <w:lang w:val="en-US" w:eastAsia="zh-CN"/>
              </w:rPr>
            </w:pPr>
            <w:r>
              <w:rPr>
                <w:rFonts w:hint="eastAsia" w:ascii="Times New Roman" w:hAnsi="Times New Roman" w:eastAsia="宋体" w:cs="Times New Roman"/>
                <w:sz w:val="20"/>
                <w:szCs w:val="20"/>
                <w:highlight w:val="none"/>
                <w:lang w:val="en-US" w:eastAsia="zh-CN"/>
              </w:rPr>
              <w:t>9209.58</w:t>
            </w:r>
          </w:p>
        </w:tc>
      </w:tr>
      <w:tr w14:paraId="72A6F845">
        <w:tblPrEx>
          <w:tblCellMar>
            <w:top w:w="0" w:type="dxa"/>
            <w:left w:w="108" w:type="dxa"/>
            <w:bottom w:w="0" w:type="dxa"/>
            <w:right w:w="108" w:type="dxa"/>
          </w:tblCellMar>
        </w:tblPrEx>
        <w:trPr>
          <w:trHeight w:val="460" w:hRule="atLeast"/>
        </w:trPr>
        <w:tc>
          <w:tcPr>
            <w:tcW w:w="4055" w:type="dxa"/>
            <w:tcBorders>
              <w:top w:val="single" w:color="000000" w:sz="4" w:space="0"/>
              <w:left w:val="nil"/>
              <w:bottom w:val="single" w:color="000000" w:sz="8" w:space="0"/>
              <w:right w:val="single" w:color="000000" w:sz="4" w:space="0"/>
            </w:tcBorders>
            <w:shd w:val="clear" w:color="auto" w:fill="auto"/>
            <w:vAlign w:val="center"/>
          </w:tcPr>
          <w:p w14:paraId="02E2192A">
            <w:pPr>
              <w:textAlignment w:val="center"/>
              <w:rPr>
                <w:rFonts w:ascii="宋体" w:hAnsi="宋体" w:eastAsia="宋体" w:cs="宋体"/>
                <w:sz w:val="20"/>
                <w:szCs w:val="20"/>
              </w:rPr>
            </w:pPr>
            <w:r>
              <w:rPr>
                <w:rFonts w:hint="eastAsia" w:ascii="宋体" w:hAnsi="宋体" w:eastAsia="宋体" w:cs="宋体"/>
                <w:sz w:val="20"/>
                <w:szCs w:val="20"/>
                <w:lang w:eastAsia="zh-CN"/>
              </w:rPr>
              <w:t>合计</w:t>
            </w:r>
          </w:p>
        </w:tc>
        <w:tc>
          <w:tcPr>
            <w:tcW w:w="2277" w:type="dxa"/>
            <w:tcBorders>
              <w:top w:val="single" w:color="000000" w:sz="4" w:space="0"/>
              <w:left w:val="single" w:color="000000" w:sz="4" w:space="0"/>
              <w:bottom w:val="single" w:color="000000" w:sz="8" w:space="0"/>
              <w:right w:val="single" w:color="000000" w:sz="4" w:space="0"/>
            </w:tcBorders>
            <w:shd w:val="clear" w:color="auto" w:fill="auto"/>
            <w:vAlign w:val="center"/>
          </w:tcPr>
          <w:p w14:paraId="5BB176A9">
            <w:pPr>
              <w:rPr>
                <w:rFonts w:hint="default" w:ascii="Times New Roman" w:hAnsi="Times New Roman" w:eastAsia="宋体" w:cs="Times New Roman"/>
                <w:sz w:val="20"/>
                <w:szCs w:val="20"/>
                <w:highlight w:val="none"/>
                <w:lang w:val="en-US" w:eastAsia="zh-CN"/>
              </w:rPr>
            </w:pPr>
            <w:r>
              <w:rPr>
                <w:rFonts w:hint="eastAsia" w:ascii="Times New Roman" w:hAnsi="Times New Roman" w:eastAsia="宋体" w:cs="Times New Roman"/>
                <w:sz w:val="20"/>
                <w:szCs w:val="20"/>
                <w:highlight w:val="none"/>
                <w:lang w:val="en-US" w:eastAsia="zh-CN"/>
              </w:rPr>
              <w:t>513079.95</w:t>
            </w:r>
          </w:p>
        </w:tc>
        <w:tc>
          <w:tcPr>
            <w:tcW w:w="2208" w:type="dxa"/>
            <w:tcBorders>
              <w:top w:val="single" w:color="000000" w:sz="4" w:space="0"/>
              <w:left w:val="single" w:color="000000" w:sz="4" w:space="0"/>
              <w:bottom w:val="single" w:color="000000" w:sz="8" w:space="0"/>
              <w:right w:val="nil"/>
            </w:tcBorders>
            <w:shd w:val="clear" w:color="auto" w:fill="auto"/>
            <w:noWrap/>
            <w:vAlign w:val="center"/>
          </w:tcPr>
          <w:p w14:paraId="2D9467D5">
            <w:pPr>
              <w:rPr>
                <w:rFonts w:hint="default" w:ascii="宋体" w:hAnsi="宋体" w:eastAsia="宋体" w:cs="宋体"/>
                <w:sz w:val="24"/>
                <w:szCs w:val="24"/>
                <w:highlight w:val="yellow"/>
                <w:lang w:val="en-US" w:eastAsia="zh-CN"/>
              </w:rPr>
            </w:pPr>
            <w:r>
              <w:rPr>
                <w:rFonts w:hint="eastAsia" w:ascii="Times New Roman" w:hAnsi="Times New Roman" w:eastAsia="宋体" w:cs="Times New Roman"/>
                <w:sz w:val="20"/>
                <w:szCs w:val="20"/>
                <w:highlight w:val="none"/>
                <w:lang w:val="en-US" w:eastAsia="zh-CN"/>
              </w:rPr>
              <w:t>509813.26</w:t>
            </w:r>
          </w:p>
        </w:tc>
      </w:tr>
    </w:tbl>
    <w:p w14:paraId="620F476E">
      <w:pPr>
        <w:rPr>
          <w:rFonts w:hint="default" w:ascii="Arial" w:eastAsia="宋体"/>
          <w:color w:val="FF0000"/>
          <w:sz w:val="21"/>
          <w:highlight w:val="yellow"/>
          <w:lang w:val="en-US" w:eastAsia="zh-CN"/>
        </w:rPr>
      </w:pPr>
    </w:p>
    <w:p w14:paraId="0B489530">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yellow"/>
          <w:lang w:val="en-US" w:eastAsia="zh-CN"/>
        </w:rPr>
      </w:pPr>
    </w:p>
    <w:p w14:paraId="6FD3D24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Times New Roman" w:hAnsi="Times New Roman" w:eastAsia="仿宋_GB2312" w:cs="Times New Roman"/>
          <w:sz w:val="32"/>
          <w:szCs w:val="32"/>
          <w:highlight w:val="yellow"/>
          <w:lang w:val="en-US" w:eastAsia="zh-CN"/>
        </w:rPr>
      </w:pPr>
    </w:p>
    <w:sectPr>
      <w:footerReference r:id="rId5" w:type="default"/>
      <w:pgSz w:w="11906" w:h="16839"/>
      <w:pgMar w:top="1417" w:right="1587" w:bottom="1417" w:left="1587" w:header="0" w:footer="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76283210-94F7-4A0D-9D43-273143DB60F1}"/>
  </w:font>
  <w:font w:name="黑体">
    <w:panose1 w:val="02010609060101010101"/>
    <w:charset w:val="86"/>
    <w:family w:val="auto"/>
    <w:pitch w:val="default"/>
    <w:sig w:usb0="800002BF" w:usb1="38CF7CFA" w:usb2="00000016" w:usb3="00000000" w:csb0="00040001" w:csb1="00000000"/>
    <w:embedRegular r:id="rId2" w:fontKey="{62DEA902-3CE1-4E0F-9A3E-924FE27AB1A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3" w:fontKey="{AD8EBC91-9E57-4F94-853A-E6A7823884E0}"/>
  </w:font>
  <w:font w:name="方正公文小标宋">
    <w:panose1 w:val="02000500000000000000"/>
    <w:charset w:val="86"/>
    <w:family w:val="auto"/>
    <w:pitch w:val="default"/>
    <w:sig w:usb0="A00002BF" w:usb1="38CF7CFA" w:usb2="00000016" w:usb3="00000000" w:csb0="00040001" w:csb1="00000000"/>
    <w:embedRegular r:id="rId4" w:fontKey="{A36E8A6B-95E0-4D13-B3C3-D0B557959054}"/>
  </w:font>
  <w:font w:name="楷体">
    <w:panose1 w:val="02010609060101010101"/>
    <w:charset w:val="86"/>
    <w:family w:val="auto"/>
    <w:pitch w:val="default"/>
    <w:sig w:usb0="800002BF" w:usb1="38CF7CFA" w:usb2="00000016" w:usb3="00000000" w:csb0="00040001" w:csb1="00000000"/>
    <w:embedRegular r:id="rId5" w:fontKey="{BA17AC8F-E304-4456-B2CF-6DDE70FD6375}"/>
  </w:font>
  <w:font w:name="仿宋_GB2312">
    <w:panose1 w:val="02010609030101010101"/>
    <w:charset w:val="86"/>
    <w:family w:val="auto"/>
    <w:pitch w:val="default"/>
    <w:sig w:usb0="00000001" w:usb1="080E0000" w:usb2="00000000" w:usb3="00000000" w:csb0="00040000" w:csb1="00000000"/>
    <w:embedRegular r:id="rId6" w:fontKey="{95E41163-A83D-45CA-9D42-8698F2C52C58}"/>
  </w:font>
  <w:font w:name="楷体_GB2312">
    <w:panose1 w:val="02010609030101010101"/>
    <w:charset w:val="86"/>
    <w:family w:val="auto"/>
    <w:pitch w:val="default"/>
    <w:sig w:usb0="00000001" w:usb1="080E0000" w:usb2="00000000" w:usb3="00000000" w:csb0="00040000" w:csb1="00000000"/>
    <w:embedRegular r:id="rId7" w:fontKey="{D4906A78-B73F-4AFE-97EF-ADAC8DD08C9D}"/>
  </w:font>
  <w:font w:name="WPSEMBED3">
    <w:panose1 w:val="02010609030101010101"/>
    <w:charset w:val="86"/>
    <w:family w:val="auto"/>
    <w:pitch w:val="default"/>
    <w:sig w:usb0="00000001" w:usb1="080E0000" w:usb2="00000000" w:usb3="00000000" w:csb0="00040000" w:csb1="00000000"/>
  </w:font>
  <w:font w:name="WPSEMBED4">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E3F0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A8BE44">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A8BE44">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66042F"/>
    <w:multiLevelType w:val="singleLevel"/>
    <w:tmpl w:val="E966042F"/>
    <w:lvl w:ilvl="0" w:tentative="0">
      <w:start w:val="2"/>
      <w:numFmt w:val="decimal"/>
      <w:lvlText w:val="%1."/>
      <w:lvlJc w:val="left"/>
      <w:pPr>
        <w:tabs>
          <w:tab w:val="left" w:pos="312"/>
        </w:tabs>
      </w:pPr>
    </w:lvl>
  </w:abstractNum>
  <w:abstractNum w:abstractNumId="1">
    <w:nsid w:val="3A58251A"/>
    <w:multiLevelType w:val="singleLevel"/>
    <w:tmpl w:val="3A58251A"/>
    <w:lvl w:ilvl="0" w:tentative="0">
      <w:start w:val="2"/>
      <w:numFmt w:val="chineseCounting"/>
      <w:suff w:val="space"/>
      <w:lvlText w:val="第%1节"/>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2Q0N2I2ZGI4N2Y5NzljNWQ3NTdiMTY5Y2MwODljZjUifQ=="/>
  </w:docVars>
  <w:rsids>
    <w:rsidRoot w:val="00000000"/>
    <w:rsid w:val="002A6AFC"/>
    <w:rsid w:val="01F571E8"/>
    <w:rsid w:val="054943CE"/>
    <w:rsid w:val="05C5181E"/>
    <w:rsid w:val="0A821866"/>
    <w:rsid w:val="0F472F44"/>
    <w:rsid w:val="13BE6A5E"/>
    <w:rsid w:val="156A61D9"/>
    <w:rsid w:val="15D36834"/>
    <w:rsid w:val="15F85FC4"/>
    <w:rsid w:val="179E2135"/>
    <w:rsid w:val="1A7A0FFD"/>
    <w:rsid w:val="1B100797"/>
    <w:rsid w:val="1B5743C7"/>
    <w:rsid w:val="1BA52F53"/>
    <w:rsid w:val="1BD60A7D"/>
    <w:rsid w:val="1C644E21"/>
    <w:rsid w:val="1D194148"/>
    <w:rsid w:val="220C2E88"/>
    <w:rsid w:val="23BE105D"/>
    <w:rsid w:val="240F5A90"/>
    <w:rsid w:val="27391076"/>
    <w:rsid w:val="299267F7"/>
    <w:rsid w:val="2F472C96"/>
    <w:rsid w:val="2FB74C3C"/>
    <w:rsid w:val="359F3953"/>
    <w:rsid w:val="36453593"/>
    <w:rsid w:val="38627AC2"/>
    <w:rsid w:val="38C4270F"/>
    <w:rsid w:val="3BE327F4"/>
    <w:rsid w:val="40842268"/>
    <w:rsid w:val="410A2F88"/>
    <w:rsid w:val="41B24EE2"/>
    <w:rsid w:val="44CA668A"/>
    <w:rsid w:val="48B40105"/>
    <w:rsid w:val="4A2E1B7C"/>
    <w:rsid w:val="4E3450DC"/>
    <w:rsid w:val="4E741F07"/>
    <w:rsid w:val="50EE3D38"/>
    <w:rsid w:val="54482800"/>
    <w:rsid w:val="56CD0D0F"/>
    <w:rsid w:val="5B4A68A6"/>
    <w:rsid w:val="5B9F4BBA"/>
    <w:rsid w:val="5CB609AD"/>
    <w:rsid w:val="5D6F0228"/>
    <w:rsid w:val="5F990172"/>
    <w:rsid w:val="603B0C1C"/>
    <w:rsid w:val="60E530F9"/>
    <w:rsid w:val="60F46CBA"/>
    <w:rsid w:val="626B7734"/>
    <w:rsid w:val="63724157"/>
    <w:rsid w:val="64A02D7A"/>
    <w:rsid w:val="64AA1FA9"/>
    <w:rsid w:val="65D26342"/>
    <w:rsid w:val="664803B2"/>
    <w:rsid w:val="665E094F"/>
    <w:rsid w:val="677671A1"/>
    <w:rsid w:val="6D0240E7"/>
    <w:rsid w:val="6D2E23EC"/>
    <w:rsid w:val="71074DB7"/>
    <w:rsid w:val="7AF24F4C"/>
    <w:rsid w:val="7DCB0E4A"/>
    <w:rsid w:val="7FAA1A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20"/>
      <w:szCs w:val="20"/>
      <w:lang w:val="en-US" w:eastAsia="en-US" w:bidi="ar-SA"/>
    </w:rPr>
  </w:style>
  <w:style w:type="character" w:customStyle="1" w:styleId="10">
    <w:name w:val="font11"/>
    <w:basedOn w:val="7"/>
    <w:qFormat/>
    <w:uiPriority w:val="0"/>
    <w:rPr>
      <w:rFonts w:hint="eastAsia" w:ascii="宋体" w:hAnsi="宋体" w:eastAsia="宋体" w:cs="宋体"/>
      <w:b/>
      <w:bCs/>
      <w:color w:val="FFFFFF"/>
      <w:sz w:val="18"/>
      <w:szCs w:val="18"/>
      <w:u w:val="none"/>
    </w:rPr>
  </w:style>
  <w:style w:type="character" w:customStyle="1" w:styleId="11">
    <w:name w:val="font31"/>
    <w:basedOn w:val="7"/>
    <w:qFormat/>
    <w:uiPriority w:val="0"/>
    <w:rPr>
      <w:rFonts w:hint="eastAsia" w:ascii="宋体" w:hAnsi="宋体" w:eastAsia="宋体" w:cs="宋体"/>
      <w:color w:val="FFFFFF"/>
      <w:sz w:val="18"/>
      <w:szCs w:val="18"/>
      <w:u w:val="none"/>
    </w:rPr>
  </w:style>
  <w:style w:type="character" w:customStyle="1" w:styleId="12">
    <w:name w:val="font41"/>
    <w:basedOn w:val="7"/>
    <w:qFormat/>
    <w:uiPriority w:val="0"/>
    <w:rPr>
      <w:rFonts w:hint="default" w:ascii="Times New Roman" w:hAnsi="Times New Roman" w:cs="Times New Roman"/>
      <w:b/>
      <w:bCs/>
      <w:color w:val="FFFFFF"/>
      <w:sz w:val="18"/>
      <w:szCs w:val="18"/>
      <w:u w:val="none"/>
    </w:rPr>
  </w:style>
  <w:style w:type="character" w:customStyle="1" w:styleId="13">
    <w:name w:val="font21"/>
    <w:basedOn w:val="7"/>
    <w:qFormat/>
    <w:uiPriority w:val="0"/>
    <w:rPr>
      <w:rFonts w:hint="eastAsia" w:ascii="宋体" w:hAnsi="宋体" w:eastAsia="宋体" w:cs="宋体"/>
      <w:color w:val="000000"/>
      <w:sz w:val="20"/>
      <w:szCs w:val="20"/>
      <w:u w:val="none"/>
    </w:rPr>
  </w:style>
  <w:style w:type="character" w:customStyle="1" w:styleId="14">
    <w:name w:val="font61"/>
    <w:basedOn w:val="7"/>
    <w:qFormat/>
    <w:uiPriority w:val="0"/>
    <w:rPr>
      <w:rFonts w:hint="default" w:ascii="Times New Roman" w:hAnsi="Times New Roman" w:cs="Times New Roman"/>
      <w:color w:val="FFFFFF"/>
      <w:sz w:val="20"/>
      <w:szCs w:val="20"/>
      <w:u w:val="none"/>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1343</Words>
  <Characters>1899</Characters>
  <TotalTime>8</TotalTime>
  <ScaleCrop>false</ScaleCrop>
  <LinksUpToDate>false</LinksUpToDate>
  <CharactersWithSpaces>1946</CharactersWithSpaces>
  <Application>WPS Office_12.1.0.23125_F1E327BC-269C-435d-A152-05C5408002CA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2024-03-18T18:00:00Z</dcterms:created>
  <dc:creator>Administrator</dc:creator>
  <cp:lastModifiedBy>芳菲四月</cp:lastModifiedBy>
  <cp:lastPrinted>2025-10-24T07:18:36Z</cp:lastPrinted>
  <dcterms:modified xsi:type="dcterms:W3CDTF">2025-10-24T07:19:32Z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2024-04-26T09:55:29Z</vt:filetime>
  </property>
  <property fmtid="{D5CDD505-2E9C-101B-9397-08002B2CF9AE}" pid="4" name="KSOProductBuildVer">
    <vt:lpwstr>2052-12.1.0.23125</vt:lpwstr>
  </property>
  <property fmtid="{D5CDD505-2E9C-101B-9397-08002B2CF9AE}" pid="5" name="ICV">
    <vt:lpwstr>8B917D30D8254E5B85E92877B7878036_13</vt:lpwstr>
  </property>
  <property fmtid="{D5CDD505-2E9C-101B-9397-08002B2CF9AE}" pid="6" name="KSOTemplateDocerSaveRecord">
    <vt:lpwstr>eyJoZGlkIjoiY2Q0N2I2ZGI4N2Y5NzljNWQ3NTdiMTY5Y2MwODljZjUiLCJ1c2VySWQiOiIzOTA3MzgxNDAifQ==</vt:lpwstr>
  </property>
</Properties>
</file>