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1580E">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default" w:ascii="Times New Roman" w:hAnsi="Times New Roman" w:eastAsia="方正公文小标宋" w:cs="Times New Roman"/>
          <w:b w:val="0"/>
          <w:bCs w:val="0"/>
          <w:sz w:val="36"/>
          <w:szCs w:val="36"/>
          <w:highlight w:val="none"/>
        </w:rPr>
      </w:pPr>
      <w:r>
        <w:rPr>
          <w:rFonts w:hint="default" w:ascii="Times New Roman" w:hAnsi="Times New Roman" w:eastAsia="方正公文小标宋" w:cs="Times New Roman"/>
          <w:b w:val="0"/>
          <w:bCs w:val="0"/>
          <w:spacing w:val="-5"/>
          <w:sz w:val="36"/>
          <w:szCs w:val="36"/>
          <w:highlight w:val="none"/>
          <w:lang w:eastAsia="zh-CN"/>
        </w:rPr>
        <w:t>义乌</w:t>
      </w:r>
      <w:r>
        <w:rPr>
          <w:rFonts w:hint="default" w:ascii="Times New Roman" w:hAnsi="Times New Roman" w:eastAsia="方正公文小标宋" w:cs="Times New Roman"/>
          <w:b w:val="0"/>
          <w:bCs w:val="0"/>
          <w:spacing w:val="-5"/>
          <w:sz w:val="36"/>
          <w:szCs w:val="36"/>
          <w:highlight w:val="none"/>
        </w:rPr>
        <w:t>农商银行 202</w:t>
      </w:r>
      <w:r>
        <w:rPr>
          <w:rFonts w:hint="eastAsia" w:ascii="Times New Roman" w:hAnsi="Times New Roman" w:eastAsia="方正公文小标宋" w:cs="Times New Roman"/>
          <w:b w:val="0"/>
          <w:bCs w:val="0"/>
          <w:spacing w:val="-5"/>
          <w:sz w:val="36"/>
          <w:szCs w:val="36"/>
          <w:highlight w:val="none"/>
          <w:lang w:val="en-US" w:eastAsia="zh-CN"/>
        </w:rPr>
        <w:t>6</w:t>
      </w:r>
      <w:r>
        <w:rPr>
          <w:rFonts w:hint="default" w:ascii="Times New Roman" w:hAnsi="Times New Roman" w:eastAsia="方正公文小标宋" w:cs="Times New Roman"/>
          <w:b w:val="0"/>
          <w:bCs w:val="0"/>
          <w:spacing w:val="-5"/>
          <w:sz w:val="36"/>
          <w:szCs w:val="36"/>
          <w:highlight w:val="none"/>
        </w:rPr>
        <w:t>年</w:t>
      </w:r>
      <w:r>
        <w:rPr>
          <w:rFonts w:hint="eastAsia" w:ascii="Times New Roman" w:hAnsi="Times New Roman" w:eastAsia="方正公文小标宋" w:cs="Times New Roman"/>
          <w:b w:val="0"/>
          <w:bCs w:val="0"/>
          <w:spacing w:val="-5"/>
          <w:sz w:val="36"/>
          <w:szCs w:val="36"/>
          <w:highlight w:val="none"/>
          <w:lang w:val="en-US" w:eastAsia="zh-CN"/>
        </w:rPr>
        <w:t>三</w:t>
      </w:r>
      <w:r>
        <w:rPr>
          <w:rFonts w:hint="default" w:ascii="Times New Roman" w:hAnsi="Times New Roman" w:eastAsia="方正公文小标宋" w:cs="Times New Roman"/>
          <w:b w:val="0"/>
          <w:bCs w:val="0"/>
          <w:color w:val="auto"/>
          <w:spacing w:val="-5"/>
          <w:sz w:val="36"/>
          <w:szCs w:val="36"/>
          <w:highlight w:val="none"/>
        </w:rPr>
        <w:t>季度</w:t>
      </w:r>
      <w:r>
        <w:rPr>
          <w:rFonts w:hint="default" w:ascii="Times New Roman" w:hAnsi="Times New Roman" w:eastAsia="方正公文小标宋" w:cs="Times New Roman"/>
          <w:b w:val="0"/>
          <w:bCs w:val="0"/>
          <w:spacing w:val="-5"/>
          <w:sz w:val="36"/>
          <w:szCs w:val="36"/>
          <w:highlight w:val="none"/>
        </w:rPr>
        <w:t>对外信息披露</w:t>
      </w:r>
    </w:p>
    <w:p w14:paraId="5D35F183">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6EEC5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7"/>
          <w:sz w:val="32"/>
          <w:szCs w:val="32"/>
          <w:highlight w:val="none"/>
          <w:lang w:eastAsia="zh-CN"/>
        </w:rPr>
      </w:pPr>
      <w:r>
        <w:rPr>
          <w:rFonts w:hint="eastAsia" w:ascii="黑体" w:hAnsi="黑体" w:eastAsia="黑体" w:cs="黑体"/>
          <w:spacing w:val="7"/>
          <w:sz w:val="32"/>
          <w:szCs w:val="32"/>
          <w:highlight w:val="none"/>
          <w:lang w:eastAsia="zh-CN"/>
        </w:rPr>
        <w:t>第一节</w:t>
      </w:r>
      <w:r>
        <w:rPr>
          <w:rFonts w:hint="eastAsia" w:ascii="黑体" w:hAnsi="黑体" w:eastAsia="黑体" w:cs="黑体"/>
          <w:spacing w:val="7"/>
          <w:sz w:val="32"/>
          <w:szCs w:val="32"/>
          <w:highlight w:val="none"/>
          <w:lang w:val="en-US" w:eastAsia="zh-CN"/>
        </w:rPr>
        <w:t xml:space="preserve">  </w:t>
      </w:r>
      <w:r>
        <w:rPr>
          <w:rFonts w:ascii="黑体" w:hAnsi="黑体" w:eastAsia="黑体" w:cs="黑体"/>
          <w:spacing w:val="7"/>
          <w:sz w:val="32"/>
          <w:szCs w:val="32"/>
          <w:highlight w:val="none"/>
        </w:rPr>
        <w:t>财务状况</w:t>
      </w:r>
    </w:p>
    <w:tbl>
      <w:tblPr>
        <w:tblStyle w:val="6"/>
        <w:tblW w:w="76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5"/>
        <w:gridCol w:w="2700"/>
        <w:gridCol w:w="2860"/>
      </w:tblGrid>
      <w:tr w14:paraId="776B1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775" w:type="dxa"/>
            <w:gridSpan w:val="2"/>
            <w:tcBorders>
              <w:top w:val="single" w:color="000000" w:sz="8" w:space="0"/>
              <w:left w:val="nil"/>
              <w:bottom w:val="single" w:color="000000" w:sz="4" w:space="0"/>
              <w:right w:val="single" w:color="000000" w:sz="4" w:space="0"/>
            </w:tcBorders>
            <w:shd w:val="clear" w:color="auto" w:fill="0070C0"/>
            <w:vAlign w:val="center"/>
          </w:tcPr>
          <w:p w14:paraId="12E16C45">
            <w:pPr>
              <w:keepNext w:val="0"/>
              <w:keepLines w:val="0"/>
              <w:widowControl/>
              <w:suppressLineNumbers w:val="0"/>
              <w:jc w:val="center"/>
              <w:textAlignment w:val="center"/>
              <w:rPr>
                <w:rFonts w:hint="eastAsia" w:ascii="宋体" w:hAnsi="宋体" w:eastAsia="宋体" w:cs="宋体"/>
                <w:b/>
                <w:bCs/>
                <w:i w:val="0"/>
                <w:iCs w:val="0"/>
                <w:color w:val="FFFFFF"/>
                <w:sz w:val="20"/>
                <w:szCs w:val="20"/>
                <w:highlight w:val="none"/>
                <w:u w:val="none"/>
              </w:rPr>
            </w:pPr>
            <w:r>
              <w:rPr>
                <w:rFonts w:hint="eastAsia" w:ascii="宋体" w:hAnsi="宋体" w:eastAsia="宋体" w:cs="宋体"/>
                <w:b/>
                <w:bCs/>
                <w:i w:val="0"/>
                <w:iCs w:val="0"/>
                <w:snapToGrid w:val="0"/>
                <w:color w:val="000000"/>
                <w:kern w:val="0"/>
                <w:sz w:val="20"/>
                <w:szCs w:val="20"/>
                <w:highlight w:val="none"/>
                <w:u w:val="none"/>
                <w:lang w:val="en-US" w:eastAsia="zh-CN" w:bidi="ar"/>
              </w:rPr>
              <w:t>项</w:t>
            </w:r>
            <w:r>
              <w:rPr>
                <w:rFonts w:hint="eastAsia" w:ascii="宋体" w:hAnsi="宋体" w:eastAsia="宋体" w:cs="宋体"/>
                <w:i w:val="0"/>
                <w:iCs w:val="0"/>
                <w:snapToGrid w:val="0"/>
                <w:color w:val="000000"/>
                <w:kern w:val="0"/>
                <w:sz w:val="20"/>
                <w:szCs w:val="20"/>
                <w:highlight w:val="none"/>
                <w:u w:val="none"/>
                <w:lang w:val="en-US" w:eastAsia="zh-CN" w:bidi="ar"/>
              </w:rPr>
              <w:t xml:space="preserve">    </w:t>
            </w:r>
            <w:r>
              <w:rPr>
                <w:rFonts w:hint="eastAsia" w:ascii="宋体" w:hAnsi="宋体" w:eastAsia="宋体" w:cs="宋体"/>
                <w:b/>
                <w:bCs/>
                <w:i w:val="0"/>
                <w:iCs w:val="0"/>
                <w:snapToGrid w:val="0"/>
                <w:color w:val="000000"/>
                <w:kern w:val="0"/>
                <w:sz w:val="20"/>
                <w:szCs w:val="20"/>
                <w:highlight w:val="none"/>
                <w:u w:val="none"/>
                <w:lang w:val="en-US" w:eastAsia="zh-CN" w:bidi="ar"/>
              </w:rPr>
              <w:t>目</w:t>
            </w:r>
          </w:p>
        </w:tc>
        <w:tc>
          <w:tcPr>
            <w:tcW w:w="2860" w:type="dxa"/>
            <w:tcBorders>
              <w:top w:val="single" w:color="000000" w:sz="8" w:space="0"/>
              <w:left w:val="single" w:color="000000" w:sz="4" w:space="0"/>
              <w:bottom w:val="single" w:color="000000" w:sz="4" w:space="0"/>
              <w:right w:val="nil"/>
            </w:tcBorders>
            <w:shd w:val="clear" w:color="auto" w:fill="0070C0"/>
            <w:vAlign w:val="center"/>
          </w:tcPr>
          <w:p w14:paraId="05DDC214">
            <w:pPr>
              <w:keepNext w:val="0"/>
              <w:keepLines w:val="0"/>
              <w:widowControl/>
              <w:suppressLineNumbers w:val="0"/>
              <w:jc w:val="center"/>
              <w:textAlignment w:val="center"/>
              <w:rPr>
                <w:rFonts w:hint="default" w:ascii="Times New Roman" w:hAnsi="Times New Roman" w:eastAsia="宋体" w:cs="Times New Roman"/>
                <w:b/>
                <w:bCs/>
                <w:i w:val="0"/>
                <w:iCs w:val="0"/>
                <w:color w:val="FFFFFF"/>
                <w:sz w:val="20"/>
                <w:szCs w:val="20"/>
                <w:highlight w:val="none"/>
                <w:u w:val="none"/>
              </w:rPr>
            </w:pPr>
            <w:r>
              <w:rPr>
                <w:rFonts w:hint="default" w:ascii="Times New Roman" w:hAnsi="Times New Roman" w:eastAsia="宋体" w:cs="Times New Roman"/>
                <w:b/>
                <w:bCs/>
                <w:i w:val="0"/>
                <w:iCs w:val="0"/>
                <w:snapToGrid w:val="0"/>
                <w:color w:val="000000"/>
                <w:kern w:val="0"/>
                <w:sz w:val="20"/>
                <w:szCs w:val="20"/>
                <w:highlight w:val="none"/>
                <w:u w:val="none"/>
                <w:lang w:val="en-US" w:eastAsia="zh-CN" w:bidi="ar"/>
              </w:rPr>
              <w:t>202</w:t>
            </w:r>
            <w:r>
              <w:rPr>
                <w:rFonts w:hint="eastAsia" w:ascii="Times New Roman" w:hAnsi="Times New Roman" w:eastAsia="宋体" w:cs="Times New Roman"/>
                <w:b/>
                <w:bCs/>
                <w:i w:val="0"/>
                <w:iCs w:val="0"/>
                <w:snapToGrid w:val="0"/>
                <w:color w:val="000000"/>
                <w:kern w:val="0"/>
                <w:sz w:val="20"/>
                <w:szCs w:val="20"/>
                <w:highlight w:val="none"/>
                <w:u w:val="none"/>
                <w:lang w:val="en-US" w:eastAsia="zh-CN" w:bidi="ar"/>
              </w:rPr>
              <w:t>6</w:t>
            </w:r>
            <w:r>
              <w:rPr>
                <w:rFonts w:hint="eastAsia" w:ascii="宋体" w:hAnsi="宋体" w:eastAsia="宋体" w:cs="宋体"/>
                <w:b/>
                <w:bCs/>
                <w:i w:val="0"/>
                <w:iCs w:val="0"/>
                <w:snapToGrid w:val="0"/>
                <w:color w:val="000000"/>
                <w:kern w:val="0"/>
                <w:sz w:val="20"/>
                <w:szCs w:val="20"/>
                <w:highlight w:val="none"/>
                <w:u w:val="none"/>
                <w:lang w:val="en-US" w:eastAsia="zh-CN" w:bidi="ar"/>
              </w:rPr>
              <w:t>年三季度末</w:t>
            </w:r>
          </w:p>
        </w:tc>
      </w:tr>
      <w:tr w14:paraId="4D641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49A1B90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规模指标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68E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资产总额（亿元）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99486E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1590.54</w:t>
            </w:r>
          </w:p>
        </w:tc>
      </w:tr>
      <w:tr w14:paraId="1942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DE4E31A">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AB86">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各项贷款（亿元）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90DA9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1151.40</w:t>
            </w:r>
          </w:p>
        </w:tc>
      </w:tr>
      <w:tr w14:paraId="38A7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68EBAB6">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2B5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负债总额（亿元）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4C68BF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1465.27</w:t>
            </w:r>
          </w:p>
        </w:tc>
      </w:tr>
      <w:tr w14:paraId="4364C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BACEAB8">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E021">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各项存款（亿元）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A2E5D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1282.17</w:t>
            </w:r>
          </w:p>
        </w:tc>
      </w:tr>
      <w:tr w14:paraId="7B29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19FC3E0E">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0EA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所有者权益（亿元）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1430BB9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125.27</w:t>
            </w:r>
          </w:p>
        </w:tc>
      </w:tr>
      <w:tr w14:paraId="1FA4E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ECD0A86">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245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每股净资产（元）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DE6EE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6.34</w:t>
            </w:r>
          </w:p>
        </w:tc>
      </w:tr>
      <w:tr w14:paraId="6CBC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48136C1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盈利指标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2B7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营业收入（亿元）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4A2C62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22.99</w:t>
            </w:r>
          </w:p>
        </w:tc>
      </w:tr>
      <w:tr w14:paraId="68BD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DB46306">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254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营业支出（亿元）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6F849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11.68</w:t>
            </w:r>
          </w:p>
        </w:tc>
      </w:tr>
      <w:tr w14:paraId="74E86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53D2224B">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FD0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利润总额（亿元）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0C837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11.29</w:t>
            </w:r>
          </w:p>
        </w:tc>
      </w:tr>
      <w:tr w14:paraId="1C43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DA8AB4A">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129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净利润（亿元）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22F3BB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9.90</w:t>
            </w:r>
          </w:p>
        </w:tc>
      </w:tr>
      <w:tr w14:paraId="5E62A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2DFDC04">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C48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成本收入比（%）</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648E8D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25.98</w:t>
            </w:r>
          </w:p>
        </w:tc>
      </w:tr>
      <w:tr w14:paraId="1AEFD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5697B6E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资产质量指标</w:t>
            </w: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6A6D3B9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不良贷款率（%）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4279D3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0.82</w:t>
            </w:r>
          </w:p>
        </w:tc>
      </w:tr>
      <w:tr w14:paraId="554F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5B6AA1C7">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1D7287E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拨备覆盖率（%）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1ED9B2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552.96</w:t>
            </w:r>
          </w:p>
        </w:tc>
      </w:tr>
      <w:tr w14:paraId="04CB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145B07A5">
            <w:pPr>
              <w:jc w:val="left"/>
              <w:rPr>
                <w:rFonts w:hint="eastAsia" w:ascii="宋体" w:hAnsi="宋体" w:eastAsia="宋体" w:cs="宋体"/>
                <w:i w:val="0"/>
                <w:iCs w:val="0"/>
                <w:color w:val="000000"/>
                <w:sz w:val="20"/>
                <w:szCs w:val="20"/>
                <w:highlight w:val="none"/>
                <w:u w:val="none"/>
              </w:rPr>
            </w:pPr>
          </w:p>
        </w:tc>
        <w:tc>
          <w:tcPr>
            <w:tcW w:w="2700" w:type="dxa"/>
            <w:tcBorders>
              <w:top w:val="single" w:color="000000" w:sz="4" w:space="0"/>
              <w:left w:val="nil"/>
              <w:bottom w:val="single" w:color="000000" w:sz="8" w:space="0"/>
              <w:right w:val="single" w:color="000000" w:sz="4" w:space="0"/>
            </w:tcBorders>
            <w:shd w:val="clear" w:color="auto" w:fill="auto"/>
            <w:vAlign w:val="center"/>
          </w:tcPr>
          <w:p w14:paraId="7EBE20D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贷款拨备率（%）</w:t>
            </w:r>
          </w:p>
        </w:tc>
        <w:tc>
          <w:tcPr>
            <w:tcW w:w="2860" w:type="dxa"/>
            <w:tcBorders>
              <w:top w:val="single" w:color="000000" w:sz="4" w:space="0"/>
              <w:left w:val="single" w:color="000000" w:sz="4" w:space="0"/>
              <w:bottom w:val="single" w:color="000000" w:sz="8" w:space="0"/>
              <w:right w:val="nil"/>
            </w:tcBorders>
            <w:shd w:val="clear" w:color="auto" w:fill="auto"/>
            <w:vAlign w:val="center"/>
          </w:tcPr>
          <w:p w14:paraId="10521EB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4.54</w:t>
            </w:r>
          </w:p>
        </w:tc>
      </w:tr>
    </w:tbl>
    <w:p w14:paraId="077BF38D">
      <w:pPr>
        <w:keepNext w:val="0"/>
        <w:keepLines w:val="0"/>
        <w:pageBreakBefore w:val="0"/>
        <w:widowControl/>
        <w:kinsoku w:val="0"/>
        <w:wordWrap/>
        <w:overflowPunct/>
        <w:topLinePunct w:val="0"/>
        <w:autoSpaceDE w:val="0"/>
        <w:autoSpaceDN w:val="0"/>
        <w:bidi w:val="0"/>
        <w:adjustRightInd w:val="0"/>
        <w:snapToGrid w:val="0"/>
        <w:spacing w:line="560" w:lineRule="exact"/>
        <w:ind w:firstLine="468" w:firstLineChars="200"/>
        <w:textAlignment w:val="baseline"/>
        <w:rPr>
          <w:rFonts w:ascii="楷体" w:hAnsi="楷体" w:eastAsia="楷体" w:cs="楷体"/>
          <w:sz w:val="22"/>
          <w:szCs w:val="22"/>
          <w:highlight w:val="none"/>
        </w:rPr>
      </w:pPr>
      <w:r>
        <w:rPr>
          <w:rFonts w:ascii="楷体" w:hAnsi="楷体" w:eastAsia="楷体" w:cs="楷体"/>
          <w:spacing w:val="7"/>
          <w:sz w:val="22"/>
          <w:szCs w:val="22"/>
          <w:highlight w:val="none"/>
        </w:rPr>
        <w:t>注：财务数据未经审计。</w:t>
      </w:r>
    </w:p>
    <w:p w14:paraId="651C3E3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napToGrid w:val="0"/>
          <w:color w:val="000000"/>
          <w:spacing w:val="7"/>
          <w:kern w:val="0"/>
          <w:sz w:val="32"/>
          <w:szCs w:val="32"/>
          <w:highlight w:val="none"/>
          <w:lang w:val="en-US" w:eastAsia="zh-CN" w:bidi="ar-SA"/>
        </w:rPr>
      </w:pPr>
    </w:p>
    <w:p w14:paraId="254662B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68" w:firstLineChars="200"/>
        <w:jc w:val="center"/>
        <w:textAlignment w:val="baseline"/>
        <w:rPr>
          <w:rFonts w:hint="eastAsia" w:ascii="黑体" w:hAnsi="黑体" w:eastAsia="黑体" w:cs="黑体"/>
          <w:spacing w:val="7"/>
          <w:sz w:val="32"/>
          <w:szCs w:val="32"/>
          <w:highlight w:val="none"/>
          <w:lang w:val="en-US" w:eastAsia="zh-CN"/>
        </w:rPr>
      </w:pPr>
      <w:r>
        <w:rPr>
          <w:rFonts w:hint="eastAsia" w:ascii="黑体" w:hAnsi="黑体" w:eastAsia="黑体" w:cs="黑体"/>
          <w:snapToGrid w:val="0"/>
          <w:color w:val="000000"/>
          <w:spacing w:val="7"/>
          <w:kern w:val="0"/>
          <w:sz w:val="32"/>
          <w:szCs w:val="32"/>
          <w:highlight w:val="none"/>
          <w:lang w:val="en-US" w:eastAsia="zh-CN" w:bidi="ar-SA"/>
        </w:rPr>
        <w:t xml:space="preserve">第二节 </w:t>
      </w:r>
      <w:r>
        <w:rPr>
          <w:rFonts w:hint="eastAsia" w:ascii="黑体" w:hAnsi="黑体" w:eastAsia="黑体" w:cs="黑体"/>
          <w:spacing w:val="7"/>
          <w:sz w:val="32"/>
          <w:szCs w:val="32"/>
          <w:highlight w:val="none"/>
          <w:lang w:val="en-US" w:eastAsia="zh-CN"/>
        </w:rPr>
        <w:t xml:space="preserve"> 资本信息</w:t>
      </w:r>
    </w:p>
    <w:p w14:paraId="380DD4B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b w:val="0"/>
          <w:bCs w:val="0"/>
          <w:color w:val="000000"/>
          <w:sz w:val="32"/>
          <w:szCs w:val="32"/>
          <w:highlight w:val="none"/>
          <w:lang w:eastAsia="zh-CN"/>
        </w:rPr>
        <w:t>本行</w:t>
      </w:r>
      <w:r>
        <w:rPr>
          <w:rFonts w:hint="eastAsia" w:ascii="Times New Roman" w:hAnsi="Times New Roman" w:eastAsia="仿宋_GB2312" w:cs="仿宋_GB2312"/>
          <w:sz w:val="32"/>
          <w:szCs w:val="32"/>
          <w:highlight w:val="none"/>
        </w:rPr>
        <w:t>根据国家金融监督管理总局发布的《商业银行资本管理办法》</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国家金融监督管理总局令2023年第4号</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的监管要求，通过公开官方网站，向投资者和社会公众披露本行并表口径资本充足率信息。</w:t>
      </w:r>
    </w:p>
    <w:p w14:paraId="48D0DE02">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一</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制度要求</w:t>
      </w:r>
    </w:p>
    <w:p w14:paraId="60B34F3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国家金融监督管理总局对本行各级资本充足率最低要求（含储备资本2</w:t>
      </w:r>
      <w:r>
        <w:rPr>
          <w:rFonts w:ascii="Times New Roman" w:hAnsi="Times New Roman" w:eastAsia="仿宋_GB2312" w:cs="仿宋_GB2312"/>
          <w:sz w:val="32"/>
          <w:szCs w:val="32"/>
          <w:highlight w:val="none"/>
        </w:rPr>
        <w:t>.5%</w:t>
      </w:r>
      <w:r>
        <w:rPr>
          <w:rFonts w:hint="eastAsia" w:ascii="Times New Roman" w:hAnsi="Times New Roman" w:eastAsia="仿宋_GB2312" w:cs="仿宋_GB2312"/>
          <w:sz w:val="32"/>
          <w:szCs w:val="32"/>
          <w:highlight w:val="none"/>
        </w:rPr>
        <w:t>）如下</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1</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核心一级资本充足率不得低于7.50%</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2</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一级资本充足率不得低于8.50%</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3</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资本充足率不得低于10.50%。</w:t>
      </w:r>
    </w:p>
    <w:p w14:paraId="40AD5309">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）资本充足率计量范围</w:t>
      </w:r>
    </w:p>
    <w:p w14:paraId="0FA1EE1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rPr>
        <w:t>本行依据《商业银行资本管理办法》进行并表资本充足率计量，计量范围包括下设附属机构</w:t>
      </w:r>
      <w:r>
        <w:rPr>
          <w:rFonts w:hint="eastAsia" w:ascii="Times New Roman" w:hAnsi="Times New Roman" w:eastAsia="仿宋_GB2312" w:cs="仿宋_GB2312"/>
          <w:sz w:val="32"/>
          <w:szCs w:val="32"/>
          <w:highlight w:val="none"/>
          <w:lang w:val="en-US" w:eastAsia="zh-CN"/>
        </w:rPr>
        <w:t>-</w:t>
      </w:r>
      <w:r>
        <w:rPr>
          <w:rFonts w:hint="eastAsia" w:ascii="Times New Roman" w:hAnsi="Times New Roman" w:eastAsia="仿宋_GB2312" w:cs="仿宋_GB2312"/>
          <w:sz w:val="32"/>
          <w:szCs w:val="32"/>
          <w:highlight w:val="none"/>
          <w:lang w:eastAsia="zh-CN"/>
        </w:rPr>
        <w:t>浙江龙游义商村镇银行股份有限公司。</w:t>
      </w:r>
    </w:p>
    <w:p w14:paraId="5849F947">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Times New Roman" w:hAnsi="Times New Roman" w:eastAsia="仿宋_GB2312" w:cs="仿宋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三</w:t>
      </w:r>
      <w:r>
        <w:rPr>
          <w:rFonts w:hint="eastAsia" w:ascii="楷体_GB2312" w:hAnsi="楷体_GB2312" w:eastAsia="楷体_GB2312" w:cs="楷体_GB2312"/>
          <w:sz w:val="32"/>
          <w:szCs w:val="32"/>
          <w:highlight w:val="none"/>
          <w:lang w:eastAsia="zh-CN"/>
        </w:rPr>
        <w:t>）资本充足率及风险资产情况</w:t>
      </w:r>
    </w:p>
    <w:p w14:paraId="6BFA179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按照《商业银行资本管理办法》规定，</w:t>
      </w:r>
      <w:bookmarkStart w:id="0" w:name="_GoBack"/>
      <w:bookmarkEnd w:id="0"/>
      <w:r>
        <w:rPr>
          <w:rFonts w:hint="eastAsia" w:ascii="Times New Roman" w:hAnsi="Times New Roman" w:eastAsia="仿宋_GB2312" w:cs="仿宋_GB2312"/>
          <w:sz w:val="32"/>
          <w:szCs w:val="32"/>
          <w:highlight w:val="none"/>
        </w:rPr>
        <w:t>本行机构划分标准适用于二档商业银行，其中信用风险采用权重法计量，市场风险采用简化标准法计量，操作风险采用基本指标法计量。在计量并表资本充足率时，采用按照集团二档行统一的计量方法进行资本并表。截至202</w:t>
      </w: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仿宋_GB2312"/>
          <w:sz w:val="32"/>
          <w:szCs w:val="32"/>
          <w:highlight w:val="none"/>
        </w:rPr>
        <w:t>年</w:t>
      </w:r>
      <w:r>
        <w:rPr>
          <w:rFonts w:hint="eastAsia" w:ascii="Times New Roman" w:hAnsi="Times New Roman" w:eastAsia="仿宋_GB2312" w:cs="仿宋_GB2312"/>
          <w:sz w:val="32"/>
          <w:szCs w:val="32"/>
          <w:highlight w:val="none"/>
          <w:lang w:val="en-US" w:eastAsia="zh-CN"/>
        </w:rPr>
        <w:t>9</w:t>
      </w:r>
      <w:r>
        <w:rPr>
          <w:rFonts w:hint="eastAsia" w:ascii="Times New Roman" w:hAnsi="Times New Roman" w:eastAsia="仿宋_GB2312" w:cs="仿宋_GB2312"/>
          <w:sz w:val="32"/>
          <w:szCs w:val="32"/>
          <w:highlight w:val="none"/>
        </w:rPr>
        <w:t>月</w:t>
      </w:r>
      <w:r>
        <w:rPr>
          <w:rFonts w:hint="eastAsia" w:ascii="Times New Roman" w:hAnsi="Times New Roman" w:eastAsia="仿宋_GB2312" w:cs="仿宋_GB2312"/>
          <w:sz w:val="32"/>
          <w:szCs w:val="32"/>
          <w:highlight w:val="none"/>
          <w:lang w:val="en-US" w:eastAsia="zh-CN"/>
        </w:rPr>
        <w:t>30</w:t>
      </w:r>
      <w:r>
        <w:rPr>
          <w:rFonts w:hint="eastAsia" w:ascii="Times New Roman" w:hAnsi="Times New Roman" w:eastAsia="仿宋_GB2312" w:cs="仿宋_GB2312"/>
          <w:sz w:val="32"/>
          <w:szCs w:val="32"/>
          <w:highlight w:val="none"/>
        </w:rPr>
        <w:t>日，本行并表口径的核心一级资本净额额</w:t>
      </w:r>
      <w:r>
        <w:rPr>
          <w:rFonts w:hint="eastAsia" w:ascii="Times New Roman" w:hAnsi="Times New Roman" w:eastAsia="仿宋_GB2312" w:cs="仿宋_GB2312"/>
          <w:sz w:val="32"/>
          <w:szCs w:val="32"/>
          <w:highlight w:val="none"/>
          <w:lang w:val="en-US" w:eastAsia="zh-CN"/>
        </w:rPr>
        <w:t>124.78</w:t>
      </w:r>
      <w:r>
        <w:rPr>
          <w:rFonts w:hint="eastAsia" w:ascii="Times New Roman" w:hAnsi="Times New Roman" w:eastAsia="仿宋_GB2312" w:cs="仿宋_GB2312"/>
          <w:sz w:val="32"/>
          <w:szCs w:val="32"/>
          <w:highlight w:val="none"/>
        </w:rPr>
        <w:t>亿元，一级资本净额</w:t>
      </w:r>
      <w:r>
        <w:rPr>
          <w:rFonts w:hint="eastAsia" w:ascii="Times New Roman" w:hAnsi="Times New Roman" w:eastAsia="仿宋_GB2312" w:cs="仿宋_GB2312"/>
          <w:sz w:val="32"/>
          <w:szCs w:val="32"/>
          <w:highlight w:val="none"/>
          <w:lang w:val="en-US" w:eastAsia="zh-CN"/>
        </w:rPr>
        <w:t>124.79</w:t>
      </w:r>
      <w:r>
        <w:rPr>
          <w:rFonts w:hint="eastAsia" w:ascii="Times New Roman" w:hAnsi="Times New Roman" w:eastAsia="仿宋_GB2312" w:cs="仿宋_GB2312"/>
          <w:sz w:val="32"/>
          <w:szCs w:val="32"/>
          <w:highlight w:val="none"/>
        </w:rPr>
        <w:t>亿元，资本净额</w:t>
      </w:r>
      <w:r>
        <w:rPr>
          <w:rFonts w:hint="eastAsia" w:ascii="Times New Roman" w:hAnsi="Times New Roman" w:eastAsia="仿宋_GB2312" w:cs="仿宋_GB2312"/>
          <w:sz w:val="32"/>
          <w:szCs w:val="32"/>
          <w:highlight w:val="none"/>
          <w:lang w:val="en-US" w:eastAsia="zh-CN"/>
        </w:rPr>
        <w:t>137.53</w:t>
      </w:r>
      <w:r>
        <w:rPr>
          <w:rFonts w:hint="eastAsia" w:ascii="Times New Roman" w:hAnsi="Times New Roman" w:eastAsia="仿宋_GB2312" w:cs="仿宋_GB2312"/>
          <w:sz w:val="32"/>
          <w:szCs w:val="32"/>
          <w:highlight w:val="none"/>
        </w:rPr>
        <w:t>亿元，风险加权资产</w:t>
      </w:r>
      <w:r>
        <w:rPr>
          <w:rFonts w:hint="eastAsia" w:ascii="Times New Roman" w:hAnsi="Times New Roman" w:eastAsia="仿宋_GB2312" w:cs="仿宋_GB2312"/>
          <w:sz w:val="32"/>
          <w:szCs w:val="32"/>
          <w:highlight w:val="none"/>
          <w:lang w:val="en-US" w:eastAsia="zh-CN"/>
        </w:rPr>
        <w:t>1100.19</w:t>
      </w:r>
      <w:r>
        <w:rPr>
          <w:rFonts w:hint="eastAsia" w:ascii="Times New Roman" w:hAnsi="Times New Roman" w:eastAsia="仿宋_GB2312" w:cs="仿宋_GB2312"/>
          <w:sz w:val="32"/>
          <w:szCs w:val="32"/>
          <w:highlight w:val="none"/>
        </w:rPr>
        <w:t>亿元，核心一级资本充足率为</w:t>
      </w:r>
      <w:r>
        <w:rPr>
          <w:rFonts w:hint="eastAsia" w:ascii="Times New Roman" w:hAnsi="Times New Roman" w:eastAsia="仿宋_GB2312" w:cs="仿宋_GB2312"/>
          <w:sz w:val="32"/>
          <w:szCs w:val="32"/>
          <w:highlight w:val="none"/>
          <w:lang w:val="en-US" w:eastAsia="zh-CN"/>
        </w:rPr>
        <w:t>11.34</w:t>
      </w:r>
      <w:r>
        <w:rPr>
          <w:rFonts w:hint="eastAsia" w:ascii="Times New Roman" w:hAnsi="Times New Roman" w:eastAsia="仿宋_GB2312" w:cs="仿宋_GB2312"/>
          <w:sz w:val="32"/>
          <w:szCs w:val="32"/>
          <w:highlight w:val="none"/>
        </w:rPr>
        <w:t>%，一级资本充足率为</w:t>
      </w:r>
      <w:r>
        <w:rPr>
          <w:rFonts w:hint="eastAsia" w:ascii="Times New Roman" w:hAnsi="Times New Roman" w:eastAsia="仿宋_GB2312" w:cs="仿宋_GB2312"/>
          <w:sz w:val="32"/>
          <w:szCs w:val="32"/>
          <w:highlight w:val="none"/>
          <w:lang w:val="en-US" w:eastAsia="zh-CN"/>
        </w:rPr>
        <w:t>11.34</w:t>
      </w:r>
      <w:r>
        <w:rPr>
          <w:rFonts w:hint="eastAsia" w:ascii="Times New Roman" w:hAnsi="Times New Roman" w:eastAsia="仿宋_GB2312" w:cs="仿宋_GB2312"/>
          <w:sz w:val="32"/>
          <w:szCs w:val="32"/>
          <w:highlight w:val="none"/>
        </w:rPr>
        <w:t>%，资本充足率为</w:t>
      </w:r>
      <w:r>
        <w:rPr>
          <w:rFonts w:hint="eastAsia" w:ascii="Times New Roman" w:hAnsi="Times New Roman" w:eastAsia="仿宋_GB2312" w:cs="仿宋_GB2312"/>
          <w:sz w:val="32"/>
          <w:szCs w:val="32"/>
          <w:highlight w:val="none"/>
          <w:lang w:val="en-US" w:eastAsia="zh-CN"/>
        </w:rPr>
        <w:t>12.50</w:t>
      </w:r>
      <w:r>
        <w:rPr>
          <w:rFonts w:hint="eastAsia" w:ascii="Times New Roman" w:hAnsi="Times New Roman" w:eastAsia="仿宋_GB2312" w:cs="仿宋_GB2312"/>
          <w:sz w:val="32"/>
          <w:szCs w:val="32"/>
          <w:highlight w:val="none"/>
        </w:rPr>
        <w:t>%；调整后表内外资产余额</w:t>
      </w:r>
      <w:r>
        <w:rPr>
          <w:rFonts w:hint="eastAsia" w:ascii="Times New Roman" w:hAnsi="Times New Roman" w:eastAsia="仿宋_GB2312" w:cs="仿宋_GB2312"/>
          <w:sz w:val="32"/>
          <w:szCs w:val="32"/>
          <w:highlight w:val="none"/>
          <w:lang w:val="en-US" w:eastAsia="zh-CN"/>
        </w:rPr>
        <w:t>1679.56</w:t>
      </w:r>
      <w:r>
        <w:rPr>
          <w:rFonts w:hint="eastAsia" w:ascii="Times New Roman" w:hAnsi="Times New Roman" w:eastAsia="仿宋_GB2312" w:cs="仿宋_GB2312"/>
          <w:sz w:val="32"/>
          <w:szCs w:val="32"/>
          <w:highlight w:val="none"/>
        </w:rPr>
        <w:t>亿元，杠杆率为</w:t>
      </w:r>
      <w:r>
        <w:rPr>
          <w:rFonts w:hint="eastAsia" w:ascii="Times New Roman" w:hAnsi="Times New Roman" w:eastAsia="仿宋_GB2312" w:cs="仿宋_GB2312"/>
          <w:sz w:val="32"/>
          <w:szCs w:val="32"/>
          <w:highlight w:val="none"/>
          <w:lang w:val="en-US" w:eastAsia="zh-CN"/>
        </w:rPr>
        <w:t>7.43</w:t>
      </w:r>
      <w:r>
        <w:rPr>
          <w:rFonts w:hint="eastAsia" w:ascii="Times New Roman" w:hAnsi="Times New Roman" w:eastAsia="仿宋_GB2312" w:cs="仿宋_GB2312"/>
          <w:sz w:val="32"/>
          <w:szCs w:val="32"/>
          <w:highlight w:val="none"/>
        </w:rPr>
        <w:t>%。核心资本充足率、一级资本充足率、资本充足率和杠杆率均高于监管部门要求的法定值。</w:t>
      </w:r>
    </w:p>
    <w:p w14:paraId="15018B2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根据《商业银行资本管理办法》相关规定，本季度本行需披露的报表如下</w:t>
      </w:r>
      <w:r>
        <w:rPr>
          <w:rFonts w:hint="eastAsia" w:ascii="Times New Roman" w:hAnsi="Times New Roman" w:eastAsia="仿宋_GB2312" w:cs="仿宋_GB2312"/>
          <w:sz w:val="32"/>
          <w:szCs w:val="32"/>
          <w:highlight w:val="none"/>
          <w:lang w:eastAsia="zh-CN"/>
        </w:rPr>
        <w:t>：</w:t>
      </w:r>
    </w:p>
    <w:p w14:paraId="0CBF32E8">
      <w:pPr>
        <w:spacing w:line="560" w:lineRule="exact"/>
        <w:rPr>
          <w:rFonts w:hint="default"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附表1：KM1监管并表关键审慎监管指标</w:t>
      </w:r>
    </w:p>
    <w:p w14:paraId="68316907">
      <w:pPr>
        <w:spacing w:line="560" w:lineRule="exact"/>
        <w:ind w:right="320"/>
        <w:jc w:val="right"/>
        <w:rPr>
          <w:rFonts w:ascii="Times New Roman" w:hAnsi="Times New Roman" w:eastAsia="仿宋_GB2312" w:cs="仿宋_GB2312"/>
          <w:sz w:val="24"/>
          <w:szCs w:val="24"/>
          <w:highlight w:val="none"/>
        </w:rPr>
      </w:pPr>
      <w:r>
        <w:rPr>
          <w:rFonts w:hint="eastAsia" w:ascii="Times New Roman" w:hAnsi="Times New Roman" w:eastAsia="仿宋_GB2312" w:cs="仿宋_GB2312"/>
          <w:sz w:val="32"/>
          <w:szCs w:val="32"/>
          <w:highlight w:val="none"/>
          <w:lang w:val="en-US" w:eastAsia="zh-CN"/>
        </w:rPr>
        <w:t xml:space="preserve">                                   </w:t>
      </w:r>
      <w:r>
        <w:rPr>
          <w:rFonts w:hint="eastAsia" w:ascii="Times New Roman" w:hAnsi="Times New Roman" w:eastAsia="仿宋_GB2312" w:cs="仿宋_GB2312"/>
          <w:sz w:val="24"/>
          <w:szCs w:val="24"/>
          <w:highlight w:val="none"/>
        </w:rPr>
        <w:t>单位：</w:t>
      </w:r>
      <w:r>
        <w:rPr>
          <w:rFonts w:hint="eastAsia" w:ascii="Times New Roman" w:hAnsi="Times New Roman" w:eastAsia="仿宋_GB2312" w:cs="仿宋_GB2312"/>
          <w:sz w:val="24"/>
          <w:szCs w:val="24"/>
          <w:highlight w:val="none"/>
          <w:lang w:eastAsia="zh-CN"/>
        </w:rPr>
        <w:t>人民币</w:t>
      </w:r>
      <w:r>
        <w:rPr>
          <w:rFonts w:hint="eastAsia" w:ascii="Times New Roman" w:hAnsi="Times New Roman" w:eastAsia="仿宋_GB2312" w:cs="仿宋_GB2312"/>
          <w:sz w:val="24"/>
          <w:szCs w:val="24"/>
          <w:highlight w:val="none"/>
        </w:rPr>
        <w:t>万元、%</w:t>
      </w:r>
    </w:p>
    <w:tbl>
      <w:tblPr>
        <w:tblStyle w:val="6"/>
        <w:tblW w:w="5261" w:type="pct"/>
        <w:tblInd w:w="0" w:type="dxa"/>
        <w:tblLayout w:type="fixed"/>
        <w:tblCellMar>
          <w:top w:w="0" w:type="dxa"/>
          <w:left w:w="108" w:type="dxa"/>
          <w:bottom w:w="0" w:type="dxa"/>
          <w:right w:w="108" w:type="dxa"/>
        </w:tblCellMar>
      </w:tblPr>
      <w:tblGrid>
        <w:gridCol w:w="477"/>
        <w:gridCol w:w="2228"/>
        <w:gridCol w:w="1338"/>
        <w:gridCol w:w="1327"/>
        <w:gridCol w:w="1327"/>
        <w:gridCol w:w="1348"/>
        <w:gridCol w:w="1371"/>
      </w:tblGrid>
      <w:tr w14:paraId="747BEC1A">
        <w:tblPrEx>
          <w:tblCellMar>
            <w:top w:w="0" w:type="dxa"/>
            <w:left w:w="108" w:type="dxa"/>
            <w:bottom w:w="0" w:type="dxa"/>
            <w:right w:w="108" w:type="dxa"/>
          </w:tblCellMar>
        </w:tblPrEx>
        <w:trPr>
          <w:trHeight w:val="567" w:hRule="exact"/>
        </w:trPr>
        <w:tc>
          <w:tcPr>
            <w:tcW w:w="1436" w:type="pct"/>
            <w:gridSpan w:val="2"/>
            <w:tcBorders>
              <w:top w:val="single" w:color="000000" w:sz="4" w:space="0"/>
              <w:left w:val="single" w:color="000000" w:sz="4" w:space="0"/>
              <w:bottom w:val="single" w:color="000000" w:sz="4" w:space="0"/>
              <w:right w:val="single" w:color="000000" w:sz="4" w:space="0"/>
            </w:tcBorders>
            <w:noWrap w:val="0"/>
            <w:vAlign w:val="center"/>
          </w:tcPr>
          <w:p w14:paraId="0F806EB4">
            <w:pPr>
              <w:widowControl/>
              <w:jc w:val="center"/>
              <w:textAlignment w:val="top"/>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项目</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24957487">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202</w:t>
            </w:r>
            <w:r>
              <w:rPr>
                <w:rFonts w:hint="eastAsia" w:ascii="Times New Roman" w:hAnsi="Times New Roman" w:eastAsia="仿宋_GB2312" w:cs="仿宋_GB2312"/>
                <w:color w:val="000000"/>
                <w:kern w:val="0"/>
                <w:sz w:val="21"/>
                <w:szCs w:val="21"/>
                <w:highlight w:val="none"/>
                <w:lang w:val="en-US" w:eastAsia="zh-CN" w:bidi="ar"/>
              </w:rPr>
              <w:t>6</w:t>
            </w:r>
            <w:r>
              <w:rPr>
                <w:rFonts w:hint="eastAsia" w:ascii="Times New Roman" w:hAnsi="Times New Roman" w:eastAsia="仿宋_GB2312" w:cs="仿宋_GB2312"/>
                <w:color w:val="000000"/>
                <w:kern w:val="0"/>
                <w:sz w:val="21"/>
                <w:szCs w:val="21"/>
                <w:highlight w:val="none"/>
                <w:lang w:bidi="ar"/>
              </w:rPr>
              <w:t>年</w:t>
            </w:r>
            <w:r>
              <w:rPr>
                <w:rFonts w:hint="eastAsia" w:ascii="Times New Roman" w:hAnsi="Times New Roman" w:eastAsia="仿宋_GB2312" w:cs="仿宋_GB2312"/>
                <w:color w:val="000000"/>
                <w:kern w:val="0"/>
                <w:sz w:val="21"/>
                <w:szCs w:val="21"/>
                <w:highlight w:val="none"/>
                <w:lang w:val="en-US" w:eastAsia="zh-CN" w:bidi="ar"/>
              </w:rPr>
              <w:t>9</w:t>
            </w:r>
            <w:r>
              <w:rPr>
                <w:rFonts w:hint="eastAsia" w:ascii="Times New Roman" w:hAnsi="Times New Roman" w:eastAsia="仿宋_GB2312" w:cs="仿宋_GB2312"/>
                <w:color w:val="000000"/>
                <w:kern w:val="0"/>
                <w:sz w:val="21"/>
                <w:szCs w:val="21"/>
                <w:highlight w:val="none"/>
                <w:lang w:bidi="ar"/>
              </w:rPr>
              <w:t>月</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5627C45">
            <w:pPr>
              <w:widowControl/>
              <w:jc w:val="center"/>
              <w:textAlignment w:val="center"/>
              <w:rPr>
                <w:rFonts w:hint="default"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2026年6月</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17CEA88">
            <w:pPr>
              <w:widowControl/>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val="en-US" w:eastAsia="zh-CN" w:bidi="ar"/>
              </w:rPr>
              <w:t>2026年3月</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3C3E85F2">
            <w:pPr>
              <w:widowControl/>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2025年12月</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41BBC4D">
            <w:pPr>
              <w:widowControl/>
              <w:jc w:val="center"/>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2025年9月</w:t>
            </w:r>
          </w:p>
        </w:tc>
      </w:tr>
      <w:tr w14:paraId="2E540139">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75DE210">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C8403F">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可用资本（数额）</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032043C">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3B62CCA">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3AF8AEE">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1726786">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25BED709">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5E82B059">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5D5143D4">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核心一级资本净额</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11A7A86B">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1247823.86</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420F32D1">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1202127.62</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76D46CB8">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1182651.04</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447DF5E8">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1144434.97</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5AE5BCC">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1131114.74</w:t>
            </w:r>
          </w:p>
        </w:tc>
      </w:tr>
      <w:tr w14:paraId="0D7916F1">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167E25F9">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5627A064">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一级资本净额</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7627ED47">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1247926.38</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ABB8E75">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1202230.77</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5B9033D">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1182755.32</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71DE7721">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1144538.06</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4D6D57E">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1131218.46</w:t>
            </w:r>
          </w:p>
        </w:tc>
      </w:tr>
      <w:tr w14:paraId="13DAE3F5">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6C4AD491">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3A41A331">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资本净额</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7034DDBB">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1375315.80</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024DAD4">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1326230.16</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1F3CD31">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1306007.21</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126670EE">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1261263.91</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08C5FA2">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1249803.78</w:t>
            </w:r>
          </w:p>
        </w:tc>
      </w:tr>
      <w:tr w14:paraId="1DE2FF6E">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7FE4B9C8">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36633BA">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风险加权资产（数额）</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6326D43">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1B698B2">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3CEC15E">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4A163B0">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16DBFB80">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70ECD69D">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4</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050089E7">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风险加权资产</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5F1D2693">
            <w:pPr>
              <w:widowControl/>
              <w:jc w:val="left"/>
              <w:textAlignment w:val="center"/>
              <w:rPr>
                <w:rFonts w:hint="default" w:ascii="Times New Roman" w:hAnsi="Times New Roman" w:eastAsia="仿宋_GB2312" w:cs="仿宋_GB2312"/>
                <w:color w:val="000000"/>
                <w:sz w:val="21"/>
                <w:szCs w:val="21"/>
                <w:highlight w:val="none"/>
                <w:lang w:val="en-US"/>
              </w:rPr>
            </w:pPr>
            <w:r>
              <w:rPr>
                <w:rFonts w:hint="eastAsia" w:ascii="Times New Roman" w:hAnsi="Times New Roman" w:eastAsia="仿宋_GB2312" w:cs="仿宋_GB2312"/>
                <w:color w:val="000000"/>
                <w:kern w:val="0"/>
                <w:sz w:val="21"/>
                <w:szCs w:val="21"/>
                <w:highlight w:val="none"/>
                <w:lang w:val="en-US" w:eastAsia="zh-CN" w:bidi="ar"/>
              </w:rPr>
              <w:t>11001893.34</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78116B7B">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10701912.46</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CD1D049">
            <w:pPr>
              <w:widowControl/>
              <w:jc w:val="left"/>
              <w:textAlignment w:val="center"/>
              <w:rPr>
                <w:rFonts w:hint="eastAsia" w:ascii="Times New Roman" w:hAnsi="Times New Roman" w:eastAsia="仿宋_GB2312" w:cs="仿宋_GB2312"/>
                <w:snapToGrid w:val="0"/>
                <w:color w:val="000000"/>
                <w:kern w:val="0"/>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10469217.43</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0A495663">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9939284.08</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058367B">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10085134.21</w:t>
            </w:r>
          </w:p>
        </w:tc>
      </w:tr>
      <w:tr w14:paraId="34DEB8A9">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CC3CA15">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B1CCECB">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资本充足率</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162C126">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A5A06A2">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6AC8E7D">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22F376A">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59BCA482">
        <w:tblPrEx>
          <w:tblCellMar>
            <w:top w:w="0" w:type="dxa"/>
            <w:left w:w="108" w:type="dxa"/>
            <w:bottom w:w="0" w:type="dxa"/>
            <w:right w:w="108" w:type="dxa"/>
          </w:tblCellMar>
        </w:tblPrEx>
        <w:trPr>
          <w:trHeight w:val="60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24494CE9">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5</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03D1A948">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核心一级资本充足率（%）</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351C58FA">
            <w:pPr>
              <w:widowControl/>
              <w:jc w:val="left"/>
              <w:textAlignment w:val="center"/>
              <w:rPr>
                <w:rFonts w:hint="default"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11.34</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4E90DB19">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11.23</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914D890">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11.30</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61886291">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11.51</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66676F3">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11.22</w:t>
            </w:r>
          </w:p>
        </w:tc>
      </w:tr>
      <w:tr w14:paraId="1D4C81AD">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23094A30">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6</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5A707525">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一级资本充足率（%）</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6B465102">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11.34</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52B45A1">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11.23</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AFFE101">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11.30</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78C4D801">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11.52</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51827E23">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11.22</w:t>
            </w:r>
          </w:p>
        </w:tc>
      </w:tr>
      <w:tr w14:paraId="422F119E">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1DBA93C9">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7</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6172AF51">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资本充足率（%）</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669C8D7A">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12.50</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3CEFB87">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12.39</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F201452">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12.47</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61C29A3C">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12.69</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52BB2E6">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12.39</w:t>
            </w:r>
          </w:p>
        </w:tc>
      </w:tr>
      <w:tr w14:paraId="1819A36B">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28BD32F">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F6E5304">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其他各级资本要求</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64F44B">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C474BAF">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B8CD6E2">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ECEBA4C">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7DB6DAF4">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3AD5F866">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8</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75C1D57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储备资本要求（%）</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5277A73F">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96C2635">
            <w:pPr>
              <w:widowControl/>
              <w:jc w:val="left"/>
              <w:textAlignment w:val="center"/>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01006AB">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3592722F">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2.5</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1EE283E">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2.5</w:t>
            </w:r>
          </w:p>
        </w:tc>
      </w:tr>
      <w:tr w14:paraId="387041AE">
        <w:tblPrEx>
          <w:tblCellMar>
            <w:top w:w="0" w:type="dxa"/>
            <w:left w:w="108" w:type="dxa"/>
            <w:bottom w:w="0" w:type="dxa"/>
            <w:right w:w="108" w:type="dxa"/>
          </w:tblCellMar>
        </w:tblPrEx>
        <w:trPr>
          <w:trHeight w:val="551"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18C09681">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9</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135846B9">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逆周期资本要求（%）</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2ADA92B5">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0</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640821E3">
            <w:pPr>
              <w:widowControl/>
              <w:jc w:val="left"/>
              <w:textAlignment w:val="center"/>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0</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3C532107">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0</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6AA6985B">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0</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BA2687B">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0</w:t>
            </w:r>
          </w:p>
        </w:tc>
      </w:tr>
      <w:tr w14:paraId="70CA8AF2">
        <w:tblPrEx>
          <w:tblCellMar>
            <w:top w:w="0" w:type="dxa"/>
            <w:left w:w="108" w:type="dxa"/>
            <w:bottom w:w="0" w:type="dxa"/>
            <w:right w:w="108" w:type="dxa"/>
          </w:tblCellMar>
        </w:tblPrEx>
        <w:trPr>
          <w:trHeight w:val="1080" w:hRule="exact"/>
        </w:trPr>
        <w:tc>
          <w:tcPr>
            <w:tcW w:w="25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8FCC2">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10</w:t>
            </w:r>
          </w:p>
        </w:tc>
        <w:tc>
          <w:tcPr>
            <w:tcW w:w="118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F801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全球系统重要性银行或国内系统重要性银行附加资本要求（%）</w:t>
            </w:r>
          </w:p>
        </w:tc>
        <w:tc>
          <w:tcPr>
            <w:tcW w:w="710"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508711FE">
            <w:pPr>
              <w:jc w:val="left"/>
              <w:rPr>
                <w:rFonts w:hint="eastAsia" w:ascii="Times New Roman" w:hAnsi="Times New Roman" w:eastAsia="仿宋_GB2312" w:cs="仿宋_GB2312"/>
                <w:color w:val="auto"/>
                <w:sz w:val="21"/>
                <w:szCs w:val="21"/>
                <w:highlight w:val="none"/>
              </w:rPr>
            </w:pPr>
          </w:p>
        </w:tc>
        <w:tc>
          <w:tcPr>
            <w:tcW w:w="704"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F937155">
            <w:pPr>
              <w:jc w:val="left"/>
              <w:rPr>
                <w:rFonts w:hint="eastAsia" w:ascii="Times New Roman" w:hAnsi="Times New Roman" w:eastAsia="仿宋_GB2312" w:cs="仿宋_GB2312"/>
                <w:color w:val="auto"/>
                <w:sz w:val="21"/>
                <w:szCs w:val="21"/>
                <w:highlight w:val="none"/>
              </w:rPr>
            </w:pPr>
          </w:p>
        </w:tc>
        <w:tc>
          <w:tcPr>
            <w:tcW w:w="704"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3F41B72">
            <w:pPr>
              <w:jc w:val="left"/>
              <w:rPr>
                <w:rFonts w:hint="eastAsia" w:ascii="Times New Roman" w:hAnsi="Times New Roman" w:eastAsia="仿宋_GB2312" w:cs="仿宋_GB2312"/>
                <w:color w:val="auto"/>
                <w:sz w:val="21"/>
                <w:szCs w:val="21"/>
                <w:highlight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643AB70">
            <w:pPr>
              <w:jc w:val="left"/>
              <w:rPr>
                <w:rFonts w:hint="eastAsia" w:ascii="Times New Roman" w:hAnsi="Times New Roman" w:eastAsia="仿宋_GB2312" w:cs="仿宋_GB2312"/>
                <w:color w:val="auto"/>
                <w:sz w:val="21"/>
                <w:szCs w:val="21"/>
                <w:highlight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106C5BF">
            <w:pPr>
              <w:jc w:val="left"/>
              <w:rPr>
                <w:rFonts w:hint="eastAsia" w:ascii="Times New Roman" w:hAnsi="Times New Roman" w:eastAsia="仿宋_GB2312" w:cs="仿宋_GB2312"/>
                <w:color w:val="auto"/>
                <w:sz w:val="21"/>
                <w:szCs w:val="21"/>
                <w:highlight w:val="none"/>
              </w:rPr>
            </w:pPr>
          </w:p>
        </w:tc>
      </w:tr>
      <w:tr w14:paraId="2E130255">
        <w:tblPrEx>
          <w:tblCellMar>
            <w:top w:w="0" w:type="dxa"/>
            <w:left w:w="108" w:type="dxa"/>
            <w:bottom w:w="0" w:type="dxa"/>
            <w:right w:w="108" w:type="dxa"/>
          </w:tblCellMar>
        </w:tblPrEx>
        <w:trPr>
          <w:trHeight w:val="694"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1B3888C6">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11</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3D2AC579">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其他各级资本要求（%）（8+9+10）</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3BE6ED19">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C78AECA">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2.5</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6A9318B8">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19BE02CC">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2.5</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58447B85">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2.5</w:t>
            </w:r>
          </w:p>
        </w:tc>
      </w:tr>
      <w:tr w14:paraId="023432D5">
        <w:tblPrEx>
          <w:tblCellMar>
            <w:top w:w="0" w:type="dxa"/>
            <w:left w:w="108" w:type="dxa"/>
            <w:bottom w:w="0" w:type="dxa"/>
            <w:right w:w="108" w:type="dxa"/>
          </w:tblCellMar>
        </w:tblPrEx>
        <w:trPr>
          <w:trHeight w:val="1691"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3221A3E5">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12</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0FE1901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满足最低资本要求后的可用核心一级资本净额占风险加权资产的比例（%）</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44EDE132">
            <w:pPr>
              <w:widowControl/>
              <w:jc w:val="left"/>
              <w:textAlignment w:val="center"/>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4.50</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919D973">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4.39</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E85416C">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4.47</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3E97613C">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4.69</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79F0337">
            <w:pPr>
              <w:widowControl/>
              <w:jc w:val="left"/>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lang w:val="en-US" w:eastAsia="zh-CN"/>
              </w:rPr>
              <w:t>4.39</w:t>
            </w:r>
          </w:p>
        </w:tc>
      </w:tr>
      <w:tr w14:paraId="53F90132">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C4763D7">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5CA8E95">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杠杆率</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DB6F5A0">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76FF8DC">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E74F480">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1515FA5">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169E8019">
        <w:tblPrEx>
          <w:tblCellMar>
            <w:top w:w="0" w:type="dxa"/>
            <w:left w:w="108" w:type="dxa"/>
            <w:bottom w:w="0" w:type="dxa"/>
            <w:right w:w="108" w:type="dxa"/>
          </w:tblCellMar>
        </w:tblPrEx>
        <w:trPr>
          <w:trHeight w:val="570"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75BBC09B">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13</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4DB5E321">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调整后表内外资产余额</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75273B74">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16795599.32</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DD891F5">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16299199.94</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F15542E">
            <w:pPr>
              <w:widowControl/>
              <w:jc w:val="left"/>
              <w:textAlignment w:val="center"/>
              <w:rPr>
                <w:rFonts w:hint="eastAsia" w:ascii="Times New Roman" w:hAnsi="Times New Roman" w:eastAsia="仿宋_GB2312" w:cs="仿宋_GB2312"/>
                <w:snapToGrid w:val="0"/>
                <w:color w:val="000000"/>
                <w:kern w:val="0"/>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16063562.42</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5D343AD4">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16013471.54</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F116A5A">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15691490.61</w:t>
            </w:r>
          </w:p>
        </w:tc>
      </w:tr>
      <w:tr w14:paraId="410F85BE">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4ACDEF53">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14</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59058D4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杠杆率（%）</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25A24AA2">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7.43</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30E059B5">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7.38</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6041EE9">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7.36</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0BF1B5DF">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7.15</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B394919">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7.21</w:t>
            </w:r>
          </w:p>
        </w:tc>
      </w:tr>
      <w:tr w14:paraId="52A8075F">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4E9C7C1E">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14a</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380F1E38">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杠杆率a（%）</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3C039C4B">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7.43</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0FD15F9">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7.38</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6B9A05A">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7.36</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699ECB73">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7.15</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42D378B">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7.21</w:t>
            </w:r>
          </w:p>
        </w:tc>
      </w:tr>
      <w:tr w14:paraId="2C54D2A2">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922D697">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BFCAAB5">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流动性覆盖率</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E0B63D8">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AD93228">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17801EB">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E21E88F">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270C5D49">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69B686A3">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15</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448C058F">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合格优质流动性资产</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62DB5F2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1918F06">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3258E867">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63AED6A5">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5CB04117">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6F30A890">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1E15C24E">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16</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3DCD509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现金净流出量</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1510B38E">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7B2ADCCD">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9EC5928">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21427043">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BA7A8B1">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18D0FDD3">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3557DDC8">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17</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0507DDDE">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流动性覆盖率（%）</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4E46DA2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105276EF">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425F1689">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0327C524">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D5983CC">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14566E5D">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D90CD54">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F0B6E74">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净稳定资金比例</w:t>
            </w: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410DD4A">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7F8D29A">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A53A630">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710F3AE">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2D6C063A">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26B34922">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18</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50DEDAF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可用稳定资金合计</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5C007AE3">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DE664C8">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C5FBC28">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426ABCAB">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F379543">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36E20245">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44937630">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19</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453E7F6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所需稳定资金合计</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36DB6972">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367D3594">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2F54F61B">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09F83E2B">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208BD5A">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68F65EC8">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noWrap w:val="0"/>
            <w:vAlign w:val="center"/>
          </w:tcPr>
          <w:p w14:paraId="059389BB">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20</w:t>
            </w:r>
          </w:p>
        </w:tc>
        <w:tc>
          <w:tcPr>
            <w:tcW w:w="1183" w:type="pct"/>
            <w:tcBorders>
              <w:top w:val="single" w:color="000000" w:sz="4" w:space="0"/>
              <w:left w:val="single" w:color="000000" w:sz="4" w:space="0"/>
              <w:bottom w:val="single" w:color="000000" w:sz="4" w:space="0"/>
              <w:right w:val="single" w:color="000000" w:sz="4" w:space="0"/>
            </w:tcBorders>
            <w:noWrap w:val="0"/>
            <w:vAlign w:val="center"/>
          </w:tcPr>
          <w:p w14:paraId="7FBB6DB9">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净稳定资金比例（%）</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3E7696D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C799D9F">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5D84D86">
            <w:pPr>
              <w:widowControl/>
              <w:jc w:val="left"/>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不适用</w:t>
            </w:r>
          </w:p>
        </w:tc>
        <w:tc>
          <w:tcPr>
            <w:tcW w:w="715" w:type="pct"/>
            <w:tcBorders>
              <w:top w:val="single" w:color="000000" w:sz="4" w:space="0"/>
              <w:left w:val="single" w:color="000000" w:sz="4" w:space="0"/>
              <w:bottom w:val="single" w:color="000000" w:sz="4" w:space="0"/>
              <w:right w:val="single" w:color="000000" w:sz="4" w:space="0"/>
            </w:tcBorders>
            <w:noWrap w:val="0"/>
            <w:vAlign w:val="center"/>
          </w:tcPr>
          <w:p w14:paraId="2557B863">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bidi="ar"/>
              </w:rPr>
              <w:t>不适用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3F7BC9D">
            <w:pPr>
              <w:widowControl/>
              <w:jc w:val="left"/>
              <w:textAlignment w:val="center"/>
              <w:rPr>
                <w:rFonts w:hint="eastAsia"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bidi="ar"/>
              </w:rPr>
              <w:t>不适用</w:t>
            </w:r>
          </w:p>
        </w:tc>
      </w:tr>
      <w:tr w14:paraId="07782BEF">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785929EA">
            <w:pPr>
              <w:rPr>
                <w:rFonts w:hint="eastAsia" w:ascii="Times New Roman" w:hAnsi="Times New Roman" w:eastAsia="仿宋_GB2312" w:cs="仿宋_GB2312"/>
                <w:b/>
                <w:bCs/>
                <w:color w:val="000000"/>
                <w:sz w:val="21"/>
                <w:szCs w:val="21"/>
                <w:highlight w:val="none"/>
              </w:rPr>
            </w:pPr>
          </w:p>
        </w:tc>
        <w:tc>
          <w:tcPr>
            <w:tcW w:w="1893" w:type="pct"/>
            <w:gridSpan w:val="2"/>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B105810">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流动性比例</w:t>
            </w:r>
          </w:p>
        </w:tc>
        <w:tc>
          <w:tcPr>
            <w:tcW w:w="704"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7EEC8B47">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7B1519D">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58993C06">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c>
          <w:tcPr>
            <w:tcW w:w="728"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71D2D4BD">
            <w:pPr>
              <w:widowControl/>
              <w:jc w:val="left"/>
              <w:textAlignment w:val="top"/>
              <w:rPr>
                <w:rFonts w:hint="eastAsia" w:ascii="Times New Roman" w:hAnsi="Times New Roman" w:eastAsia="仿宋_GB2312" w:cs="仿宋_GB2312"/>
                <w:b/>
                <w:bCs/>
                <w:color w:val="000000"/>
                <w:kern w:val="0"/>
                <w:sz w:val="21"/>
                <w:szCs w:val="21"/>
                <w:highlight w:val="none"/>
                <w:lang w:bidi="ar"/>
              </w:rPr>
            </w:pPr>
          </w:p>
        </w:tc>
      </w:tr>
      <w:tr w14:paraId="64AE4411">
        <w:tblPrEx>
          <w:tblCellMar>
            <w:top w:w="0" w:type="dxa"/>
            <w:left w:w="108" w:type="dxa"/>
            <w:bottom w:w="0" w:type="dxa"/>
            <w:right w:w="108" w:type="dxa"/>
          </w:tblCellMar>
        </w:tblPrEx>
        <w:trPr>
          <w:trHeight w:val="482" w:hRule="exact"/>
        </w:trPr>
        <w:tc>
          <w:tcPr>
            <w:tcW w:w="25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0E8D8">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21</w:t>
            </w:r>
          </w:p>
        </w:tc>
        <w:tc>
          <w:tcPr>
            <w:tcW w:w="118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02B5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流动性比例（%）</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D2F3B">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73.90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01A1A">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69.73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0186D">
            <w:pPr>
              <w:widowControl/>
              <w:jc w:val="left"/>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61.65</w:t>
            </w:r>
          </w:p>
        </w:tc>
        <w:tc>
          <w:tcPr>
            <w:tcW w:w="7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E277A">
            <w:pPr>
              <w:widowControl/>
              <w:jc w:val="left"/>
              <w:textAlignment w:val="center"/>
              <w:rPr>
                <w:rFonts w:hint="default"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54.43</w:t>
            </w:r>
          </w:p>
        </w:tc>
        <w:tc>
          <w:tcPr>
            <w:tcW w:w="72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0663D">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68.88</w:t>
            </w:r>
          </w:p>
        </w:tc>
      </w:tr>
    </w:tbl>
    <w:p w14:paraId="0E02B242">
      <w:pPr>
        <w:keepNext w:val="0"/>
        <w:keepLines w:val="0"/>
        <w:pageBreakBefore w:val="0"/>
        <w:widowControl/>
        <w:kinsoku w:val="0"/>
        <w:wordWrap/>
        <w:overflowPunct/>
        <w:topLinePunct w:val="0"/>
        <w:autoSpaceDE w:val="0"/>
        <w:autoSpaceDN w:val="0"/>
        <w:bidi w:val="0"/>
        <w:adjustRightInd w:val="0"/>
        <w:snapToGrid w:val="0"/>
        <w:spacing w:line="560" w:lineRule="exact"/>
        <w:ind w:firstLine="2688" w:firstLineChars="800"/>
        <w:textAlignment w:val="baseline"/>
        <w:rPr>
          <w:rFonts w:hint="eastAsia" w:ascii="黑体" w:hAnsi="黑体" w:eastAsia="黑体" w:cs="黑体"/>
          <w:spacing w:val="8"/>
          <w:sz w:val="32"/>
          <w:szCs w:val="32"/>
          <w:highlight w:val="none"/>
          <w:lang w:eastAsia="zh-CN"/>
        </w:rPr>
      </w:pPr>
    </w:p>
    <w:p w14:paraId="02192C30">
      <w:pPr>
        <w:keepNext w:val="0"/>
        <w:keepLines w:val="0"/>
        <w:pageBreakBefore w:val="0"/>
        <w:widowControl/>
        <w:kinsoku w:val="0"/>
        <w:wordWrap/>
        <w:overflowPunct/>
        <w:topLinePunct w:val="0"/>
        <w:autoSpaceDE w:val="0"/>
        <w:autoSpaceDN w:val="0"/>
        <w:bidi w:val="0"/>
        <w:adjustRightInd w:val="0"/>
        <w:snapToGrid w:val="0"/>
        <w:spacing w:line="560" w:lineRule="exact"/>
        <w:ind w:firstLine="2688" w:firstLineChars="800"/>
        <w:textAlignment w:val="baseline"/>
        <w:rPr>
          <w:rFonts w:hint="eastAsia" w:ascii="黑体" w:hAnsi="黑体" w:eastAsia="黑体" w:cs="黑体"/>
          <w:sz w:val="32"/>
          <w:szCs w:val="32"/>
          <w:highlight w:val="none"/>
          <w:lang w:eastAsia="zh-CN"/>
        </w:rPr>
      </w:pPr>
      <w:r>
        <w:rPr>
          <w:rFonts w:hint="eastAsia" w:ascii="黑体" w:hAnsi="黑体" w:eastAsia="黑体" w:cs="黑体"/>
          <w:spacing w:val="8"/>
          <w:sz w:val="32"/>
          <w:szCs w:val="32"/>
          <w:highlight w:val="none"/>
          <w:lang w:eastAsia="zh-CN"/>
        </w:rPr>
        <w:t>第三节</w:t>
      </w:r>
      <w:r>
        <w:rPr>
          <w:rFonts w:hint="eastAsia" w:ascii="黑体" w:hAnsi="黑体" w:eastAsia="黑体" w:cs="黑体"/>
          <w:spacing w:val="8"/>
          <w:sz w:val="32"/>
          <w:szCs w:val="32"/>
          <w:highlight w:val="none"/>
          <w:lang w:val="en-US" w:eastAsia="zh-CN"/>
        </w:rPr>
        <w:t xml:space="preserve">  </w:t>
      </w:r>
      <w:r>
        <w:rPr>
          <w:rFonts w:ascii="黑体" w:hAnsi="黑体" w:eastAsia="黑体" w:cs="黑体"/>
          <w:spacing w:val="8"/>
          <w:sz w:val="32"/>
          <w:szCs w:val="32"/>
          <w:highlight w:val="none"/>
        </w:rPr>
        <w:t>股权管理情况</w:t>
      </w:r>
    </w:p>
    <w:p w14:paraId="6666CAF3">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highlight w:val="none"/>
        </w:rPr>
      </w:pPr>
      <w:r>
        <w:rPr>
          <w:rFonts w:hint="eastAsia" w:ascii="楷体_GB2312" w:hAnsi="楷体_GB2312" w:eastAsia="楷体_GB2312" w:cs="楷体_GB2312"/>
          <w:b w:val="0"/>
          <w:bCs w:val="0"/>
          <w:spacing w:val="5"/>
          <w:sz w:val="32"/>
          <w:szCs w:val="32"/>
          <w:highlight w:val="none"/>
        </w:rPr>
        <w:t>（一）股份变动情况</w:t>
      </w:r>
    </w:p>
    <w:tbl>
      <w:tblPr>
        <w:tblStyle w:val="6"/>
        <w:tblW w:w="95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6"/>
        <w:gridCol w:w="870"/>
        <w:gridCol w:w="1140"/>
        <w:gridCol w:w="1080"/>
        <w:gridCol w:w="810"/>
        <w:gridCol w:w="1170"/>
        <w:gridCol w:w="1050"/>
        <w:gridCol w:w="780"/>
        <w:gridCol w:w="1263"/>
      </w:tblGrid>
      <w:tr w14:paraId="3AB5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1376" w:type="dxa"/>
            <w:vMerge w:val="restart"/>
            <w:tcBorders>
              <w:top w:val="single" w:color="000000" w:sz="8" w:space="0"/>
              <w:left w:val="single" w:color="000000" w:sz="8" w:space="0"/>
              <w:bottom w:val="single" w:color="000000" w:sz="4" w:space="0"/>
              <w:right w:val="single" w:color="000000" w:sz="4" w:space="0"/>
            </w:tcBorders>
            <w:shd w:val="clear" w:color="auto" w:fill="0070C0"/>
            <w:vAlign w:val="center"/>
          </w:tcPr>
          <w:p w14:paraId="65A8C2B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股东类别</w:t>
            </w:r>
          </w:p>
        </w:tc>
        <w:tc>
          <w:tcPr>
            <w:tcW w:w="3090"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36896BC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202</w:t>
            </w:r>
            <w:r>
              <w:rPr>
                <w:rFonts w:hint="eastAsia" w:ascii="Times New Roman" w:hAnsi="Times New Roman" w:eastAsia="宋体" w:cs="Times New Roman"/>
                <w:b/>
                <w:bCs/>
                <w:snapToGrid w:val="0"/>
                <w:color w:val="FFFFFF"/>
                <w:spacing w:val="7"/>
                <w:kern w:val="0"/>
                <w:sz w:val="20"/>
                <w:szCs w:val="20"/>
                <w:highlight w:val="none"/>
                <w:lang w:val="en-US" w:eastAsia="zh-CN" w:bidi="ar-SA"/>
              </w:rPr>
              <w:t>6</w:t>
            </w:r>
            <w:r>
              <w:rPr>
                <w:rFonts w:hint="default" w:ascii="Times New Roman" w:hAnsi="Times New Roman" w:eastAsia="宋体" w:cs="Times New Roman"/>
                <w:b/>
                <w:bCs/>
                <w:snapToGrid w:val="0"/>
                <w:color w:val="FFFFFF"/>
                <w:spacing w:val="7"/>
                <w:kern w:val="0"/>
                <w:sz w:val="20"/>
                <w:szCs w:val="20"/>
                <w:highlight w:val="none"/>
                <w:lang w:val="en-US" w:eastAsia="zh-CN" w:bidi="ar-SA"/>
              </w:rPr>
              <w:t>年</w:t>
            </w:r>
            <w:r>
              <w:rPr>
                <w:rFonts w:hint="eastAsia" w:ascii="Times New Roman" w:hAnsi="Times New Roman" w:eastAsia="宋体" w:cs="Times New Roman"/>
                <w:b/>
                <w:bCs/>
                <w:snapToGrid w:val="0"/>
                <w:color w:val="FFFFFF"/>
                <w:spacing w:val="7"/>
                <w:kern w:val="0"/>
                <w:sz w:val="20"/>
                <w:szCs w:val="20"/>
                <w:highlight w:val="none"/>
                <w:lang w:val="en-US" w:eastAsia="zh-CN" w:bidi="ar-SA"/>
              </w:rPr>
              <w:t>9</w:t>
            </w:r>
            <w:r>
              <w:rPr>
                <w:rFonts w:hint="default" w:ascii="Times New Roman" w:hAnsi="Times New Roman" w:eastAsia="宋体" w:cs="Times New Roman"/>
                <w:b/>
                <w:bCs/>
                <w:snapToGrid w:val="0"/>
                <w:color w:val="FFFFFF"/>
                <w:spacing w:val="7"/>
                <w:kern w:val="0"/>
                <w:sz w:val="20"/>
                <w:szCs w:val="20"/>
                <w:highlight w:val="none"/>
                <w:lang w:val="en-US" w:eastAsia="zh-CN" w:bidi="ar-SA"/>
              </w:rPr>
              <w:t>月末</w:t>
            </w:r>
          </w:p>
        </w:tc>
        <w:tc>
          <w:tcPr>
            <w:tcW w:w="3030"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51AEB60C">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202</w:t>
            </w:r>
            <w:r>
              <w:rPr>
                <w:rFonts w:hint="eastAsia" w:ascii="Times New Roman" w:hAnsi="Times New Roman" w:eastAsia="宋体" w:cs="Times New Roman"/>
                <w:b/>
                <w:bCs/>
                <w:snapToGrid w:val="0"/>
                <w:color w:val="FFFFFF"/>
                <w:spacing w:val="7"/>
                <w:kern w:val="0"/>
                <w:sz w:val="20"/>
                <w:szCs w:val="20"/>
                <w:highlight w:val="none"/>
                <w:lang w:val="en-US" w:eastAsia="zh-CN" w:bidi="ar-SA"/>
              </w:rPr>
              <w:t>6</w:t>
            </w:r>
            <w:r>
              <w:rPr>
                <w:rFonts w:hint="default" w:ascii="Times New Roman" w:hAnsi="Times New Roman" w:eastAsia="宋体" w:cs="Times New Roman"/>
                <w:b/>
                <w:bCs/>
                <w:snapToGrid w:val="0"/>
                <w:color w:val="FFFFFF"/>
                <w:spacing w:val="7"/>
                <w:kern w:val="0"/>
                <w:sz w:val="20"/>
                <w:szCs w:val="20"/>
                <w:highlight w:val="none"/>
                <w:lang w:val="en-US" w:eastAsia="zh-CN" w:bidi="ar-SA"/>
              </w:rPr>
              <w:t>年</w:t>
            </w:r>
            <w:r>
              <w:rPr>
                <w:rFonts w:hint="eastAsia" w:ascii="Times New Roman" w:hAnsi="Times New Roman" w:eastAsia="宋体" w:cs="Times New Roman"/>
                <w:b/>
                <w:bCs/>
                <w:snapToGrid w:val="0"/>
                <w:color w:val="FFFFFF"/>
                <w:spacing w:val="7"/>
                <w:kern w:val="0"/>
                <w:sz w:val="20"/>
                <w:szCs w:val="20"/>
                <w:highlight w:val="none"/>
                <w:lang w:val="en-US" w:eastAsia="zh-CN" w:bidi="ar-SA"/>
              </w:rPr>
              <w:t>6</w:t>
            </w:r>
            <w:r>
              <w:rPr>
                <w:rFonts w:hint="default" w:ascii="Times New Roman" w:hAnsi="Times New Roman" w:eastAsia="宋体" w:cs="Times New Roman"/>
                <w:b/>
                <w:bCs/>
                <w:snapToGrid w:val="0"/>
                <w:color w:val="FFFFFF"/>
                <w:spacing w:val="7"/>
                <w:kern w:val="0"/>
                <w:sz w:val="20"/>
                <w:szCs w:val="20"/>
                <w:highlight w:val="none"/>
                <w:lang w:val="en-US" w:eastAsia="zh-CN" w:bidi="ar-SA"/>
              </w:rPr>
              <w:t>月末</w:t>
            </w:r>
          </w:p>
        </w:tc>
        <w:tc>
          <w:tcPr>
            <w:tcW w:w="2043" w:type="dxa"/>
            <w:gridSpan w:val="2"/>
            <w:tcBorders>
              <w:top w:val="single" w:color="000000" w:sz="8" w:space="0"/>
              <w:left w:val="single" w:color="000000" w:sz="4" w:space="0"/>
              <w:bottom w:val="single" w:color="000000" w:sz="4" w:space="0"/>
              <w:right w:val="single" w:color="000000" w:sz="4" w:space="0"/>
            </w:tcBorders>
            <w:shd w:val="clear" w:color="auto" w:fill="0070C0"/>
            <w:vAlign w:val="center"/>
          </w:tcPr>
          <w:p w14:paraId="64AA2EF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变动情况</w:t>
            </w:r>
          </w:p>
        </w:tc>
      </w:tr>
      <w:tr w14:paraId="7D4A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1376" w:type="dxa"/>
            <w:vMerge w:val="continue"/>
            <w:tcBorders>
              <w:top w:val="single" w:color="000000" w:sz="8" w:space="0"/>
              <w:left w:val="single" w:color="000000" w:sz="8" w:space="0"/>
              <w:bottom w:val="single" w:color="000000" w:sz="4" w:space="0"/>
              <w:right w:val="single" w:color="000000" w:sz="4" w:space="0"/>
            </w:tcBorders>
            <w:shd w:val="clear" w:color="auto" w:fill="0070C0"/>
            <w:vAlign w:val="center"/>
          </w:tcPr>
          <w:p w14:paraId="3236F279">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p>
        </w:tc>
        <w:tc>
          <w:tcPr>
            <w:tcW w:w="87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125C9B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w:t>
            </w:r>
          </w:p>
          <w:p w14:paraId="485E9A5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户数</w:t>
            </w:r>
          </w:p>
        </w:tc>
        <w:tc>
          <w:tcPr>
            <w:tcW w:w="114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711C9EF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持股数量</w:t>
            </w:r>
          </w:p>
          <w:p w14:paraId="663DE472">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（万股）</w:t>
            </w:r>
          </w:p>
        </w:tc>
        <w:tc>
          <w:tcPr>
            <w:tcW w:w="108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43B50638">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持股比例（%）</w:t>
            </w:r>
          </w:p>
        </w:tc>
        <w:tc>
          <w:tcPr>
            <w:tcW w:w="81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36FBA3F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w:t>
            </w:r>
          </w:p>
          <w:p w14:paraId="1E1C5FA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户数</w:t>
            </w:r>
          </w:p>
        </w:tc>
        <w:tc>
          <w:tcPr>
            <w:tcW w:w="117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0675ABA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持股数量</w:t>
            </w:r>
            <w:r>
              <w:rPr>
                <w:rFonts w:hint="default" w:ascii="Times New Roman" w:hAnsi="Times New Roman" w:eastAsia="宋体" w:cs="Times New Roman"/>
                <w:b/>
                <w:bCs/>
                <w:snapToGrid w:val="0"/>
                <w:color w:val="FFFFFF"/>
                <w:spacing w:val="7"/>
                <w:kern w:val="0"/>
                <w:sz w:val="20"/>
                <w:szCs w:val="20"/>
                <w:highlight w:val="none"/>
                <w:lang w:val="en-US" w:eastAsia="zh-CN" w:bidi="ar-SA"/>
              </w:rPr>
              <w:br w:type="textWrapping"/>
            </w:r>
            <w:r>
              <w:rPr>
                <w:rFonts w:hint="default" w:ascii="Times New Roman" w:hAnsi="Times New Roman" w:eastAsia="宋体" w:cs="Times New Roman"/>
                <w:b/>
                <w:bCs/>
                <w:snapToGrid w:val="0"/>
                <w:color w:val="FFFFFF"/>
                <w:spacing w:val="7"/>
                <w:kern w:val="0"/>
                <w:sz w:val="20"/>
                <w:szCs w:val="20"/>
                <w:highlight w:val="none"/>
                <w:lang w:val="en-US" w:eastAsia="zh-CN" w:bidi="ar-SA"/>
              </w:rPr>
              <w:t>（万股）</w:t>
            </w:r>
          </w:p>
        </w:tc>
        <w:tc>
          <w:tcPr>
            <w:tcW w:w="105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A68D9E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持股比例（%）</w:t>
            </w:r>
          </w:p>
        </w:tc>
        <w:tc>
          <w:tcPr>
            <w:tcW w:w="78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00609CA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w:t>
            </w:r>
          </w:p>
          <w:p w14:paraId="0A546CEE">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户数</w:t>
            </w:r>
          </w:p>
        </w:tc>
        <w:tc>
          <w:tcPr>
            <w:tcW w:w="1263"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29741E86">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持股数量</w:t>
            </w:r>
          </w:p>
          <w:p w14:paraId="0ED9AFED">
            <w:pPr>
              <w:keepNext w:val="0"/>
              <w:keepLines w:val="0"/>
              <w:widowControl/>
              <w:suppressLineNumbers w:val="0"/>
              <w:jc w:val="center"/>
              <w:textAlignment w:val="center"/>
              <w:rPr>
                <w:rFonts w:hint="default"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（万股）</w:t>
            </w:r>
          </w:p>
        </w:tc>
      </w:tr>
      <w:tr w14:paraId="58A3C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6530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企业法人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87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88</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80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91013.25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D0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46.04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EB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88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DA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91013.25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2F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46.04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D3F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4C3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0</w:t>
            </w:r>
          </w:p>
        </w:tc>
      </w:tr>
      <w:tr w14:paraId="31B8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5618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社会自然人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60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10140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B7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72768.82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BD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36.81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FE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10146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DA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color w:val="000000"/>
                <w:sz w:val="20"/>
                <w:szCs w:val="20"/>
                <w:highlight w:val="none"/>
                <w:u w:val="none"/>
                <w:lang w:val="en-US" w:eastAsia="zh-CN"/>
              </w:rPr>
              <w:t>72775.26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8F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36.81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97A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5859">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-6.44</w:t>
            </w:r>
          </w:p>
        </w:tc>
      </w:tr>
      <w:tr w14:paraId="7079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0180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职工</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C1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1124</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42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33909.86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F7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17.15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DF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1124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CA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33903.42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FB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17.15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3B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9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6.44</w:t>
            </w:r>
          </w:p>
        </w:tc>
      </w:tr>
      <w:tr w14:paraId="3261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8" w:space="0"/>
              <w:right w:val="single" w:color="000000" w:sz="4" w:space="0"/>
            </w:tcBorders>
            <w:shd w:val="clear" w:color="auto" w:fill="auto"/>
            <w:vAlign w:val="center"/>
          </w:tcPr>
          <w:p w14:paraId="48DB6F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合 计</w:t>
            </w:r>
          </w:p>
        </w:tc>
        <w:tc>
          <w:tcPr>
            <w:tcW w:w="8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F8F41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11352</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4DF5A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197691.93</w:t>
            </w:r>
          </w:p>
        </w:tc>
        <w:tc>
          <w:tcPr>
            <w:tcW w:w="10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2BE5A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100</w:t>
            </w:r>
          </w:p>
        </w:tc>
        <w:tc>
          <w:tcPr>
            <w:tcW w:w="81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43B3E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11358</w:t>
            </w:r>
          </w:p>
        </w:tc>
        <w:tc>
          <w:tcPr>
            <w:tcW w:w="11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A28D5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color w:val="000000"/>
                <w:sz w:val="20"/>
                <w:szCs w:val="20"/>
                <w:highlight w:val="none"/>
                <w:u w:val="none"/>
                <w:lang w:val="en-US" w:eastAsia="zh-CN"/>
              </w:rPr>
              <w:t>197691.93</w:t>
            </w:r>
          </w:p>
        </w:tc>
        <w:tc>
          <w:tcPr>
            <w:tcW w:w="10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31693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100</w:t>
            </w:r>
          </w:p>
        </w:tc>
        <w:tc>
          <w:tcPr>
            <w:tcW w:w="7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95169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6</w:t>
            </w:r>
          </w:p>
        </w:tc>
        <w:tc>
          <w:tcPr>
            <w:tcW w:w="126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102F3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0</w:t>
            </w:r>
          </w:p>
        </w:tc>
      </w:tr>
    </w:tbl>
    <w:p w14:paraId="08662AF6">
      <w:pPr>
        <w:spacing w:line="64" w:lineRule="auto"/>
        <w:rPr>
          <w:rFonts w:ascii="Arial"/>
          <w:sz w:val="2"/>
          <w:highlight w:val="none"/>
        </w:rPr>
      </w:pPr>
    </w:p>
    <w:p w14:paraId="0155929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highlight w:val="none"/>
        </w:rPr>
      </w:pPr>
      <w:r>
        <w:rPr>
          <w:rFonts w:hint="eastAsia" w:ascii="楷体_GB2312" w:hAnsi="楷体_GB2312" w:eastAsia="楷体_GB2312" w:cs="楷体_GB2312"/>
          <w:b w:val="0"/>
          <w:bCs w:val="0"/>
          <w:spacing w:val="5"/>
          <w:sz w:val="32"/>
          <w:szCs w:val="32"/>
          <w:highlight w:val="none"/>
        </w:rPr>
        <w:t>（二）股东情况</w:t>
      </w:r>
    </w:p>
    <w:p w14:paraId="1AA06DBF">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1.股东总数及构成</w:t>
      </w:r>
    </w:p>
    <w:p w14:paraId="5591797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截至报告期末，本行股东总数为</w:t>
      </w:r>
      <w:r>
        <w:rPr>
          <w:rFonts w:hint="eastAsia" w:ascii="Times New Roman" w:hAnsi="Times New Roman" w:eastAsia="仿宋_GB2312" w:cs="Times New Roman"/>
          <w:sz w:val="32"/>
          <w:szCs w:val="32"/>
          <w:highlight w:val="none"/>
          <w:lang w:val="en-US" w:eastAsia="zh-CN"/>
        </w:rPr>
        <w:t>11352</w:t>
      </w:r>
      <w:r>
        <w:rPr>
          <w:rFonts w:hint="default" w:ascii="Times New Roman" w:hAnsi="Times New Roman" w:eastAsia="仿宋_GB2312" w:cs="Times New Roman"/>
          <w:sz w:val="32"/>
          <w:szCs w:val="32"/>
          <w:highlight w:val="none"/>
        </w:rPr>
        <w:t>户，股份总数为</w:t>
      </w:r>
      <w:r>
        <w:rPr>
          <w:rFonts w:hint="eastAsia" w:ascii="Times New Roman" w:hAnsi="Times New Roman" w:eastAsia="仿宋_GB2312" w:cs="Times New Roman"/>
          <w:sz w:val="32"/>
          <w:szCs w:val="32"/>
          <w:highlight w:val="none"/>
          <w:lang w:val="en-US" w:eastAsia="zh-CN"/>
        </w:rPr>
        <w:t>197691.9317</w:t>
      </w:r>
      <w:r>
        <w:rPr>
          <w:rFonts w:hint="default" w:ascii="Times New Roman" w:hAnsi="Times New Roman" w:eastAsia="仿宋_GB2312" w:cs="Times New Roman"/>
          <w:sz w:val="32"/>
          <w:szCs w:val="32"/>
          <w:highlight w:val="none"/>
        </w:rPr>
        <w:t>万股。其中，企业法人股东</w:t>
      </w:r>
      <w:r>
        <w:rPr>
          <w:rFonts w:hint="eastAsia" w:ascii="Times New Roman" w:hAnsi="Times New Roman" w:eastAsia="仿宋_GB2312" w:cs="Times New Roman"/>
          <w:sz w:val="32"/>
          <w:szCs w:val="32"/>
          <w:highlight w:val="none"/>
          <w:lang w:val="en-US" w:eastAsia="zh-CN"/>
        </w:rPr>
        <w:t>88</w:t>
      </w:r>
      <w:r>
        <w:rPr>
          <w:rFonts w:hint="default" w:ascii="Times New Roman" w:hAnsi="Times New Roman" w:eastAsia="仿宋_GB2312" w:cs="Times New Roman"/>
          <w:sz w:val="32"/>
          <w:szCs w:val="32"/>
          <w:highlight w:val="none"/>
        </w:rPr>
        <w:t>户，持有股份</w:t>
      </w:r>
      <w:r>
        <w:rPr>
          <w:rFonts w:hint="eastAsia" w:ascii="Times New Roman" w:hAnsi="Times New Roman" w:eastAsia="仿宋_GB2312" w:cs="Times New Roman"/>
          <w:sz w:val="32"/>
          <w:szCs w:val="32"/>
          <w:highlight w:val="none"/>
          <w:lang w:val="en-US" w:eastAsia="zh-CN"/>
        </w:rPr>
        <w:t>91013.2451</w:t>
      </w:r>
      <w:r>
        <w:rPr>
          <w:rFonts w:hint="default" w:ascii="Times New Roman" w:hAnsi="Times New Roman" w:eastAsia="仿宋_GB2312" w:cs="Times New Roman"/>
          <w:sz w:val="32"/>
          <w:szCs w:val="32"/>
          <w:highlight w:val="none"/>
        </w:rPr>
        <w:t>万股，占总股本的</w:t>
      </w:r>
      <w:r>
        <w:rPr>
          <w:rFonts w:hint="eastAsia" w:ascii="Times New Roman" w:hAnsi="Times New Roman" w:eastAsia="仿宋_GB2312" w:cs="Times New Roman"/>
          <w:sz w:val="32"/>
          <w:szCs w:val="32"/>
          <w:highlight w:val="none"/>
          <w:lang w:val="en-US" w:eastAsia="zh-CN"/>
        </w:rPr>
        <w:t>46.04</w:t>
      </w:r>
      <w:r>
        <w:rPr>
          <w:rFonts w:hint="default" w:ascii="Times New Roman" w:hAnsi="Times New Roman" w:eastAsia="仿宋_GB2312" w:cs="Times New Roman"/>
          <w:sz w:val="32"/>
          <w:szCs w:val="32"/>
          <w:highlight w:val="none"/>
        </w:rPr>
        <w:t>%；社会自然人股东</w:t>
      </w:r>
      <w:r>
        <w:rPr>
          <w:rFonts w:hint="eastAsia" w:ascii="Times New Roman" w:hAnsi="Times New Roman" w:eastAsia="仿宋_GB2312" w:cs="Times New Roman"/>
          <w:sz w:val="32"/>
          <w:szCs w:val="32"/>
          <w:highlight w:val="none"/>
          <w:lang w:val="en-US" w:eastAsia="zh-CN"/>
        </w:rPr>
        <w:t>10140</w:t>
      </w:r>
      <w:r>
        <w:rPr>
          <w:rFonts w:hint="default" w:ascii="Times New Roman" w:hAnsi="Times New Roman" w:eastAsia="仿宋_GB2312" w:cs="Times New Roman"/>
          <w:sz w:val="32"/>
          <w:szCs w:val="32"/>
          <w:highlight w:val="none"/>
        </w:rPr>
        <w:t>户，持有</w:t>
      </w:r>
      <w:r>
        <w:rPr>
          <w:rFonts w:hint="eastAsia" w:ascii="Times New Roman" w:hAnsi="Times New Roman" w:eastAsia="仿宋_GB2312" w:cs="Times New Roman"/>
          <w:sz w:val="32"/>
          <w:szCs w:val="32"/>
          <w:highlight w:val="none"/>
          <w:lang w:val="en-US" w:eastAsia="zh-CN"/>
        </w:rPr>
        <w:t>72768.8180</w:t>
      </w:r>
      <w:r>
        <w:rPr>
          <w:rFonts w:hint="default" w:ascii="Times New Roman" w:hAnsi="Times New Roman" w:eastAsia="仿宋_GB2312" w:cs="Times New Roman"/>
          <w:sz w:val="32"/>
          <w:szCs w:val="32"/>
          <w:highlight w:val="none"/>
        </w:rPr>
        <w:t>万股， 占总股本的</w:t>
      </w:r>
      <w:r>
        <w:rPr>
          <w:rFonts w:hint="eastAsia" w:ascii="Times New Roman" w:hAnsi="Times New Roman" w:eastAsia="仿宋_GB2312" w:cs="Times New Roman"/>
          <w:sz w:val="32"/>
          <w:szCs w:val="32"/>
          <w:highlight w:val="none"/>
          <w:lang w:val="en-US" w:eastAsia="zh-CN"/>
        </w:rPr>
        <w:t>36.81</w:t>
      </w:r>
      <w:r>
        <w:rPr>
          <w:rFonts w:hint="default" w:ascii="Times New Roman" w:hAnsi="Times New Roman" w:eastAsia="仿宋_GB2312" w:cs="Times New Roman"/>
          <w:sz w:val="32"/>
          <w:szCs w:val="32"/>
          <w:highlight w:val="none"/>
        </w:rPr>
        <w:t>%；职工股</w:t>
      </w:r>
      <w:r>
        <w:rPr>
          <w:rFonts w:hint="eastAsia" w:ascii="Times New Roman" w:hAnsi="Times New Roman" w:eastAsia="仿宋_GB2312" w:cs="Times New Roman"/>
          <w:sz w:val="32"/>
          <w:szCs w:val="32"/>
          <w:highlight w:val="none"/>
          <w:lang w:val="en-US" w:eastAsia="zh-CN"/>
        </w:rPr>
        <w:t>1124</w:t>
      </w:r>
      <w:r>
        <w:rPr>
          <w:rFonts w:hint="default" w:ascii="Times New Roman" w:hAnsi="Times New Roman" w:eastAsia="仿宋_GB2312" w:cs="Times New Roman"/>
          <w:sz w:val="32"/>
          <w:szCs w:val="32"/>
          <w:highlight w:val="none"/>
        </w:rPr>
        <w:t>户，持有股份</w:t>
      </w:r>
      <w:r>
        <w:rPr>
          <w:rFonts w:hint="eastAsia" w:ascii="Times New Roman" w:hAnsi="Times New Roman" w:eastAsia="仿宋_GB2312" w:cs="Times New Roman"/>
          <w:sz w:val="32"/>
          <w:szCs w:val="32"/>
          <w:highlight w:val="none"/>
          <w:lang w:val="en-US" w:eastAsia="zh-CN"/>
        </w:rPr>
        <w:t>33909.8686</w:t>
      </w:r>
      <w:r>
        <w:rPr>
          <w:rFonts w:hint="default" w:ascii="Times New Roman" w:hAnsi="Times New Roman" w:eastAsia="仿宋_GB2312" w:cs="Times New Roman"/>
          <w:sz w:val="32"/>
          <w:szCs w:val="32"/>
          <w:highlight w:val="none"/>
        </w:rPr>
        <w:t>万股，占总股本的</w:t>
      </w:r>
      <w:r>
        <w:rPr>
          <w:rFonts w:hint="eastAsia" w:ascii="Times New Roman" w:hAnsi="Times New Roman" w:eastAsia="仿宋_GB2312" w:cs="Times New Roman"/>
          <w:sz w:val="32"/>
          <w:szCs w:val="32"/>
          <w:highlight w:val="none"/>
          <w:lang w:val="en-US" w:eastAsia="zh-CN"/>
        </w:rPr>
        <w:t>17.15</w:t>
      </w:r>
      <w:r>
        <w:rPr>
          <w:rFonts w:hint="default" w:ascii="Times New Roman" w:hAnsi="Times New Roman" w:eastAsia="仿宋_GB2312" w:cs="Times New Roman"/>
          <w:sz w:val="32"/>
          <w:szCs w:val="32"/>
          <w:highlight w:val="none"/>
        </w:rPr>
        <w:t>%。</w:t>
      </w:r>
    </w:p>
    <w:p w14:paraId="778388B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报告期内股权变更情况</w:t>
      </w:r>
    </w:p>
    <w:p w14:paraId="3A9070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本行严格按照监管规定、公司章程及股权管理办法规范股权转让行为。报告期内，本行共发生股权转让</w:t>
      </w:r>
      <w:r>
        <w:rPr>
          <w:rFonts w:hint="eastAsia" w:ascii="Times New Roman" w:hAnsi="Times New Roman" w:eastAsia="仿宋_GB2312" w:cs="Times New Roman"/>
          <w:sz w:val="32"/>
          <w:szCs w:val="32"/>
          <w:highlight w:val="none"/>
          <w:lang w:val="en-US" w:eastAsia="zh-CN"/>
        </w:rPr>
        <w:t>41</w:t>
      </w:r>
      <w:r>
        <w:rPr>
          <w:rFonts w:hint="default" w:ascii="Times New Roman" w:hAnsi="Times New Roman" w:eastAsia="仿宋_GB2312" w:cs="Times New Roman"/>
          <w:sz w:val="32"/>
          <w:szCs w:val="32"/>
          <w:highlight w:val="none"/>
        </w:rPr>
        <w:t>笔，共计</w:t>
      </w:r>
      <w:r>
        <w:rPr>
          <w:rFonts w:hint="eastAsia" w:ascii="Times New Roman" w:hAnsi="Times New Roman" w:eastAsia="仿宋_GB2312" w:cs="Times New Roman"/>
          <w:sz w:val="32"/>
          <w:szCs w:val="32"/>
          <w:highlight w:val="none"/>
          <w:lang w:val="en-US" w:eastAsia="zh-CN"/>
        </w:rPr>
        <w:t>380.3672</w:t>
      </w:r>
      <w:r>
        <w:rPr>
          <w:rFonts w:hint="default" w:ascii="Times New Roman" w:hAnsi="Times New Roman" w:eastAsia="仿宋_GB2312" w:cs="Times New Roman"/>
          <w:sz w:val="32"/>
          <w:szCs w:val="32"/>
          <w:highlight w:val="none"/>
        </w:rPr>
        <w:t>万股。</w:t>
      </w:r>
    </w:p>
    <w:p w14:paraId="1FEA4A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报告期末，本行被司法冻结股份为</w:t>
      </w:r>
      <w:r>
        <w:rPr>
          <w:rFonts w:hint="eastAsia" w:ascii="Times New Roman" w:hAnsi="Times New Roman" w:eastAsia="仿宋_GB2312" w:cs="Times New Roman"/>
          <w:sz w:val="32"/>
          <w:szCs w:val="32"/>
          <w:highlight w:val="none"/>
          <w:lang w:val="en-US" w:eastAsia="zh-CN"/>
        </w:rPr>
        <w:t>350.4693</w:t>
      </w:r>
      <w:r>
        <w:rPr>
          <w:rFonts w:hint="default" w:ascii="Times New Roman" w:hAnsi="Times New Roman" w:eastAsia="仿宋_GB2312" w:cs="Times New Roman"/>
          <w:sz w:val="32"/>
          <w:szCs w:val="32"/>
          <w:highlight w:val="none"/>
        </w:rPr>
        <w:t>万股，占总股本的</w:t>
      </w:r>
      <w:r>
        <w:rPr>
          <w:rFonts w:hint="eastAsia" w:ascii="Times New Roman" w:hAnsi="Times New Roman" w:eastAsia="仿宋_GB2312" w:cs="Times New Roman"/>
          <w:sz w:val="32"/>
          <w:szCs w:val="32"/>
          <w:highlight w:val="none"/>
          <w:lang w:val="en-US" w:eastAsia="zh-CN"/>
        </w:rPr>
        <w:t>0.18</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质押股份</w:t>
      </w:r>
      <w:r>
        <w:rPr>
          <w:rFonts w:hint="eastAsia" w:ascii="Times New Roman" w:hAnsi="Times New Roman" w:eastAsia="仿宋_GB2312" w:cs="Times New Roman"/>
          <w:sz w:val="32"/>
          <w:szCs w:val="32"/>
          <w:highlight w:val="none"/>
          <w:lang w:val="en-US" w:eastAsia="zh-CN"/>
        </w:rPr>
        <w:t>10040.1349</w:t>
      </w:r>
      <w:r>
        <w:rPr>
          <w:rFonts w:hint="default" w:ascii="Times New Roman" w:hAnsi="Times New Roman" w:eastAsia="仿宋_GB2312" w:cs="Times New Roman"/>
          <w:sz w:val="32"/>
          <w:szCs w:val="32"/>
          <w:highlight w:val="none"/>
        </w:rPr>
        <w:t>万股</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占总股本的</w:t>
      </w:r>
      <w:r>
        <w:rPr>
          <w:rFonts w:hint="eastAsia" w:ascii="Times New Roman" w:hAnsi="Times New Roman" w:eastAsia="仿宋_GB2312" w:cs="Times New Roman"/>
          <w:sz w:val="32"/>
          <w:szCs w:val="32"/>
          <w:highlight w:val="none"/>
          <w:lang w:val="en-US" w:eastAsia="zh-CN"/>
        </w:rPr>
        <w:t>5.08</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被质押股权未涉及司法冻结或拍卖情况</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不存在股东将所持本行股份质押在本行的情形。</w:t>
      </w:r>
    </w:p>
    <w:p w14:paraId="45BAACD7">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3.报告期末前十大股东持股情况</w:t>
      </w:r>
    </w:p>
    <w:tbl>
      <w:tblPr>
        <w:tblStyle w:val="6"/>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2837"/>
        <w:gridCol w:w="1260"/>
        <w:gridCol w:w="1170"/>
        <w:gridCol w:w="1395"/>
        <w:gridCol w:w="1578"/>
      </w:tblGrid>
      <w:tr w14:paraId="20C31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3CC9E77B">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w:t>
            </w:r>
            <w:r>
              <w:rPr>
                <w:rFonts w:hint="default" w:ascii="Times New Roman" w:hAnsi="Times New Roman" w:eastAsia="宋体" w:cs="Times New Roman"/>
                <w:b/>
                <w:bCs/>
                <w:snapToGrid w:val="0"/>
                <w:color w:val="FFFFFF"/>
                <w:spacing w:val="7"/>
                <w:kern w:val="0"/>
                <w:sz w:val="20"/>
                <w:szCs w:val="20"/>
                <w:highlight w:val="none"/>
                <w:lang w:val="en-US" w:eastAsia="zh-CN" w:bidi="ar-SA"/>
              </w:rPr>
              <w:br w:type="textWrapping"/>
            </w:r>
            <w:r>
              <w:rPr>
                <w:rFonts w:hint="default" w:ascii="Times New Roman" w:hAnsi="Times New Roman" w:eastAsia="宋体" w:cs="Times New Roman"/>
                <w:b/>
                <w:bCs/>
                <w:snapToGrid w:val="0"/>
                <w:color w:val="FFFFFF"/>
                <w:spacing w:val="7"/>
                <w:kern w:val="0"/>
                <w:sz w:val="20"/>
                <w:szCs w:val="20"/>
                <w:highlight w:val="none"/>
                <w:lang w:val="en-US" w:eastAsia="zh-CN" w:bidi="ar-SA"/>
              </w:rPr>
              <w:t>排名</w:t>
            </w:r>
          </w:p>
        </w:tc>
        <w:tc>
          <w:tcPr>
            <w:tcW w:w="283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03005356">
            <w:pPr>
              <w:keepNext w:val="0"/>
              <w:keepLines w:val="0"/>
              <w:widowControl/>
              <w:suppressLineNumbers w:val="0"/>
              <w:ind w:firstLine="644" w:firstLineChars="30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股东名称</w:t>
            </w:r>
          </w:p>
        </w:tc>
        <w:tc>
          <w:tcPr>
            <w:tcW w:w="126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A6565B3">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 xml:space="preserve"> 持股数量  （万股）</w:t>
            </w:r>
          </w:p>
        </w:tc>
        <w:tc>
          <w:tcPr>
            <w:tcW w:w="117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7A601FC">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持股比例</w:t>
            </w:r>
            <w:r>
              <w:rPr>
                <w:rFonts w:hint="default" w:ascii="Times New Roman" w:hAnsi="Times New Roman" w:eastAsia="宋体" w:cs="Times New Roman"/>
                <w:b/>
                <w:bCs/>
                <w:snapToGrid w:val="0"/>
                <w:color w:val="FFFFFF"/>
                <w:spacing w:val="7"/>
                <w:kern w:val="0"/>
                <w:sz w:val="20"/>
                <w:szCs w:val="20"/>
                <w:highlight w:val="none"/>
                <w:lang w:val="en-US" w:eastAsia="zh-CN" w:bidi="ar-SA"/>
              </w:rPr>
              <w:br w:type="textWrapping"/>
            </w:r>
            <w:r>
              <w:rPr>
                <w:rFonts w:hint="default" w:ascii="Times New Roman" w:hAnsi="Times New Roman" w:eastAsia="宋体" w:cs="Times New Roman"/>
                <w:b/>
                <w:bCs/>
                <w:snapToGrid w:val="0"/>
                <w:color w:val="FFFFFF"/>
                <w:spacing w:val="7"/>
                <w:kern w:val="0"/>
                <w:sz w:val="20"/>
                <w:szCs w:val="20"/>
                <w:highlight w:val="none"/>
                <w:lang w:val="en-US" w:eastAsia="zh-CN" w:bidi="ar-SA"/>
              </w:rPr>
              <w:t>（%）</w:t>
            </w:r>
          </w:p>
        </w:tc>
        <w:tc>
          <w:tcPr>
            <w:tcW w:w="13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F52DA98">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报告期内增减（万股）</w:t>
            </w:r>
          </w:p>
        </w:tc>
        <w:tc>
          <w:tcPr>
            <w:tcW w:w="1578"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053753A6">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质押或冻结情况（万股）</w:t>
            </w:r>
          </w:p>
        </w:tc>
      </w:tr>
      <w:tr w14:paraId="407F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4F4F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58D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浙江省财开集团有限公司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D75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3DC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52E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DFC55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5AFB5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433F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74C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义乌市国有资本运营有限公司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D40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1BB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1D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B128D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02BF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2C96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A1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金绣集团有限公司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7F8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D6B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E47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8FEA9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2FF3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1359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A4F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 xml:space="preserve">真爱集团有限公司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338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B78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0B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AC206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质押</w:t>
            </w:r>
            <w:r>
              <w:rPr>
                <w:rStyle w:val="13"/>
                <w:rFonts w:hint="eastAsia" w:ascii="Times New Roman" w:hAnsi="Times New Roman" w:cs="Times New Roman"/>
                <w:snapToGrid w:val="0"/>
                <w:color w:val="000000"/>
                <w:highlight w:val="none"/>
                <w:lang w:val="en-US" w:eastAsia="zh-CN" w:bidi="ar"/>
              </w:rPr>
              <w:t>42</w:t>
            </w:r>
            <w:r>
              <w:rPr>
                <w:rStyle w:val="13"/>
                <w:rFonts w:hint="default" w:ascii="Times New Roman" w:hAnsi="Times New Roman" w:cs="Times New Roman"/>
                <w:snapToGrid w:val="0"/>
                <w:color w:val="000000"/>
                <w:highlight w:val="none"/>
                <w:lang w:val="en-US" w:eastAsia="zh-CN" w:bidi="ar"/>
              </w:rPr>
              <w:t>00</w:t>
            </w:r>
          </w:p>
        </w:tc>
      </w:tr>
      <w:tr w14:paraId="6C37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5A6C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7D2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 xml:space="preserve">华统集团有限公司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D2F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D3E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A9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94F5CC">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Style w:val="13"/>
                <w:rFonts w:hint="default" w:ascii="Times New Roman" w:hAnsi="Times New Roman" w:cs="Times New Roman"/>
                <w:snapToGrid w:val="0"/>
                <w:color w:val="000000"/>
                <w:highlight w:val="none"/>
                <w:lang w:val="en-US" w:eastAsia="zh-CN" w:bidi="ar"/>
              </w:rPr>
              <w:t>质押</w:t>
            </w:r>
            <w:r>
              <w:rPr>
                <w:rStyle w:val="13"/>
                <w:rFonts w:hint="eastAsia" w:ascii="Times New Roman" w:hAnsi="Times New Roman" w:cs="Times New Roman"/>
                <w:snapToGrid w:val="0"/>
                <w:color w:val="000000"/>
                <w:highlight w:val="none"/>
                <w:lang w:val="en-US" w:eastAsia="zh-CN" w:bidi="ar"/>
              </w:rPr>
              <w:t>4700</w:t>
            </w:r>
          </w:p>
        </w:tc>
      </w:tr>
      <w:tr w14:paraId="0246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F682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6</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494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浙江港派服饰有限公司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E99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4121.53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E83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2.</w:t>
            </w:r>
            <w:r>
              <w:rPr>
                <w:rFonts w:hint="eastAsia" w:ascii="Times New Roman" w:hAnsi="Times New Roman" w:eastAsia="宋体" w:cs="Times New Roman"/>
                <w:i w:val="0"/>
                <w:iCs w:val="0"/>
                <w:snapToGrid w:val="0"/>
                <w:color w:val="000000"/>
                <w:kern w:val="0"/>
                <w:sz w:val="20"/>
                <w:szCs w:val="20"/>
                <w:highlight w:val="none"/>
                <w:u w:val="none"/>
                <w:lang w:val="en-US" w:eastAsia="zh-CN" w:bidi="ar"/>
              </w:rPr>
              <w:t>08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7F2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36DE6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Style w:val="13"/>
                <w:rFonts w:hint="default" w:ascii="Times New Roman" w:hAnsi="Times New Roman" w:cs="Times New Roman"/>
                <w:snapToGrid w:val="0"/>
                <w:color w:val="000000"/>
                <w:highlight w:val="none"/>
                <w:lang w:val="en-US" w:eastAsia="zh-CN" w:bidi="ar"/>
              </w:rPr>
              <w:t>无</w:t>
            </w:r>
          </w:p>
        </w:tc>
      </w:tr>
      <w:tr w14:paraId="7D7B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484D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7</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DD9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浙江和信投资管理有限公司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BDC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3743.88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9FB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1.89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4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Style w:val="13"/>
                <w:rFonts w:hint="default" w:ascii="Times New Roman" w:hAnsi="Times New Roman" w:cs="Times New Roman"/>
                <w:snapToGrid w:val="0"/>
                <w:color w:val="auto"/>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07866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6DD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EB7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8</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D6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义乌市骁马针织有限公司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1DB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1122.40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723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0.57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E4D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2FB37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eastAsia" w:ascii="Times New Roman" w:hAnsi="Times New Roman" w:cs="Times New Roman"/>
                <w:snapToGrid w:val="0"/>
                <w:color w:val="000000"/>
                <w:highlight w:val="none"/>
                <w:lang w:val="en-US" w:eastAsia="zh-CN" w:bidi="ar"/>
              </w:rPr>
              <w:t>质押550</w:t>
            </w:r>
          </w:p>
        </w:tc>
      </w:tr>
      <w:tr w14:paraId="50521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F75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9E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浙江年年红实业有限公司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EA0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41F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921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ECA3F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72A0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53D4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F0F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Style w:val="13"/>
                <w:rFonts w:hint="default" w:ascii="Times New Roman" w:hAnsi="Times New Roman" w:cs="Times New Roman"/>
                <w:snapToGrid w:val="0"/>
                <w:color w:val="000000"/>
                <w:highlight w:val="none"/>
                <w:lang w:val="en-US" w:eastAsia="zh-CN" w:bidi="ar"/>
              </w:rPr>
              <w:t>浙江浩翔光电科技有限公司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963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C96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73D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7BCA1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5179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3314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E54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义乌市大名文化日用品有限公司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1FA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color w:val="000000"/>
                <w:sz w:val="20"/>
                <w:szCs w:val="20"/>
                <w:highlight w:val="none"/>
                <w:u w:val="none"/>
                <w:lang w:val="en-US" w:eastAsia="zh-CN"/>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F45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33F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D37D8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Style w:val="13"/>
                <w:rFonts w:hint="default" w:ascii="Times New Roman" w:hAnsi="Times New Roman" w:cs="Times New Roman"/>
                <w:snapToGrid w:val="0"/>
                <w:color w:val="000000"/>
                <w:highlight w:val="none"/>
                <w:lang w:val="en-US" w:eastAsia="zh-CN" w:bidi="ar"/>
              </w:rPr>
              <w:t>无</w:t>
            </w:r>
          </w:p>
        </w:tc>
      </w:tr>
      <w:tr w14:paraId="728A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6DFAA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9CF4">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浙江邦源新材料有限公司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9580">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428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95FE">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A4C53E">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eastAsia" w:ascii="Times New Roman" w:hAnsi="Times New Roman" w:cs="Times New Roman"/>
                <w:snapToGrid w:val="0"/>
                <w:color w:val="000000"/>
                <w:highlight w:val="none"/>
                <w:lang w:val="en-US" w:eastAsia="zh-CN" w:bidi="ar"/>
              </w:rPr>
              <w:t>质押590.1349</w:t>
            </w:r>
          </w:p>
        </w:tc>
      </w:tr>
      <w:tr w14:paraId="3446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B2799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13</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036E">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义乌市金鑫实业有限公司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084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747.52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72F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F2D8">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A3A944">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default" w:ascii="Times New Roman" w:hAnsi="Times New Roman" w:cs="Times New Roman"/>
                <w:snapToGrid w:val="0"/>
                <w:color w:val="000000"/>
                <w:highlight w:val="none"/>
                <w:lang w:val="en-US" w:eastAsia="zh-CN" w:bidi="ar"/>
              </w:rPr>
              <w:t>无</w:t>
            </w:r>
          </w:p>
        </w:tc>
      </w:tr>
      <w:tr w14:paraId="500AA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51F30F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13</w:t>
            </w:r>
          </w:p>
        </w:tc>
        <w:tc>
          <w:tcPr>
            <w:tcW w:w="283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9839F04">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rPr>
              <w:t>义乌市正华实业有限公司</w:t>
            </w:r>
          </w:p>
        </w:tc>
        <w:tc>
          <w:tcPr>
            <w:tcW w:w="126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D8B1FEF">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747.52</w:t>
            </w:r>
          </w:p>
        </w:tc>
        <w:tc>
          <w:tcPr>
            <w:tcW w:w="11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2F33A46">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highlight w:val="none"/>
                <w:u w:val="none"/>
                <w:lang w:val="en-US" w:eastAsia="zh-CN" w:bidi="ar-SA"/>
              </w:rPr>
            </w:pPr>
            <w:r>
              <w:rPr>
                <w:rFonts w:hint="eastAsia" w:ascii="Times New Roman" w:hAnsi="Times New Roman" w:eastAsia="宋体" w:cs="Times New Roman"/>
                <w:i w:val="0"/>
                <w:iCs w:val="0"/>
                <w:color w:val="000000"/>
                <w:sz w:val="20"/>
                <w:szCs w:val="20"/>
                <w:highlight w:val="none"/>
                <w:u w:val="none"/>
                <w:lang w:val="en-US" w:eastAsia="zh-CN"/>
              </w:rPr>
              <w:t>0.38</w:t>
            </w:r>
          </w:p>
        </w:tc>
        <w:tc>
          <w:tcPr>
            <w:tcW w:w="13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F9D93F9">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default" w:ascii="Times New Roman" w:hAnsi="Times New Roman" w:cs="Times New Roman"/>
                <w:snapToGrid w:val="0"/>
                <w:color w:val="000000"/>
                <w:highlight w:val="none"/>
                <w:lang w:val="en-US" w:eastAsia="zh-CN" w:bidi="ar"/>
              </w:rPr>
              <w:t>—</w:t>
            </w:r>
          </w:p>
        </w:tc>
        <w:tc>
          <w:tcPr>
            <w:tcW w:w="1578"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E7628F2">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highlight w:val="none"/>
                <w:u w:val="none"/>
                <w:lang w:val="en-US" w:eastAsia="zh-CN" w:bidi="ar"/>
              </w:rPr>
            </w:pPr>
            <w:r>
              <w:rPr>
                <w:rStyle w:val="13"/>
                <w:rFonts w:hint="default" w:ascii="Times New Roman" w:hAnsi="Times New Roman" w:cs="Times New Roman"/>
                <w:snapToGrid w:val="0"/>
                <w:color w:val="000000"/>
                <w:highlight w:val="none"/>
                <w:lang w:val="en-US" w:eastAsia="zh-CN" w:bidi="ar"/>
              </w:rPr>
              <w:t>无</w:t>
            </w:r>
          </w:p>
        </w:tc>
      </w:tr>
    </w:tbl>
    <w:p w14:paraId="04500920">
      <w:pPr>
        <w:spacing w:line="63" w:lineRule="auto"/>
        <w:rPr>
          <w:rFonts w:ascii="Arial"/>
          <w:sz w:val="2"/>
          <w:highlight w:val="none"/>
        </w:rPr>
      </w:pPr>
    </w:p>
    <w:p w14:paraId="18E2E6B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楷体_GB2312" w:hAnsi="楷体_GB2312" w:eastAsia="楷体_GB2312" w:cs="楷体_GB2312"/>
          <w:b w:val="0"/>
          <w:bCs w:val="0"/>
          <w:spacing w:val="5"/>
          <w:sz w:val="32"/>
          <w:szCs w:val="32"/>
          <w:highlight w:val="none"/>
        </w:rPr>
      </w:pPr>
      <w:r>
        <w:rPr>
          <w:rFonts w:hint="default" w:ascii="楷体_GB2312" w:hAnsi="楷体_GB2312" w:eastAsia="楷体_GB2312" w:cs="楷体_GB2312"/>
          <w:b w:val="0"/>
          <w:bCs w:val="0"/>
          <w:spacing w:val="5"/>
          <w:sz w:val="32"/>
          <w:szCs w:val="32"/>
          <w:highlight w:val="none"/>
        </w:rPr>
        <w:t>（三）报告期末主要股东情况</w:t>
      </w:r>
    </w:p>
    <w:p w14:paraId="70344F7C">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highlight w:val="none"/>
        </w:rPr>
      </w:pPr>
      <w:r>
        <w:rPr>
          <w:rFonts w:hint="default" w:ascii="Times New Roman" w:hAnsi="Times New Roman" w:eastAsia="仿宋_GB2312" w:cs="Times New Roman"/>
          <w:b/>
          <w:bCs/>
          <w:spacing w:val="13"/>
          <w:sz w:val="32"/>
          <w:szCs w:val="32"/>
          <w:highlight w:val="none"/>
        </w:rPr>
        <w:t>1.持股情况</w:t>
      </w:r>
    </w:p>
    <w:p w14:paraId="7561F70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2" w:firstLineChars="200"/>
        <w:textAlignment w:val="baseline"/>
        <w:rPr>
          <w:rFonts w:hint="default" w:ascii="Times New Roman" w:hAnsi="Times New Roman" w:eastAsia="仿宋_GB2312" w:cs="Times New Roman"/>
          <w:snapToGrid w:val="0"/>
          <w:color w:val="auto"/>
          <w:spacing w:val="13"/>
          <w:kern w:val="0"/>
          <w:sz w:val="32"/>
          <w:szCs w:val="32"/>
          <w:highlight w:val="none"/>
          <w:lang w:val="en-US" w:eastAsia="zh-CN" w:bidi="ar-SA"/>
        </w:rPr>
      </w:pPr>
      <w:r>
        <w:rPr>
          <w:rFonts w:hint="default" w:ascii="Times New Roman" w:hAnsi="Times New Roman" w:eastAsia="仿宋_GB2312" w:cs="Times New Roman"/>
          <w:snapToGrid w:val="0"/>
          <w:color w:val="auto"/>
          <w:spacing w:val="13"/>
          <w:kern w:val="0"/>
          <w:sz w:val="32"/>
          <w:szCs w:val="32"/>
          <w:highlight w:val="none"/>
          <w:lang w:val="en-US" w:eastAsia="zh-CN" w:bidi="ar-SA"/>
        </w:rPr>
        <w:t>报告期末，本行共有主要股东 1</w:t>
      </w:r>
      <w:r>
        <w:rPr>
          <w:rFonts w:hint="eastAsia" w:ascii="Times New Roman" w:hAnsi="Times New Roman" w:eastAsia="仿宋_GB2312" w:cs="Times New Roman"/>
          <w:snapToGrid w:val="0"/>
          <w:color w:val="auto"/>
          <w:spacing w:val="13"/>
          <w:kern w:val="0"/>
          <w:sz w:val="32"/>
          <w:szCs w:val="32"/>
          <w:highlight w:val="none"/>
          <w:lang w:val="en-US" w:eastAsia="zh-CN" w:bidi="ar-SA"/>
        </w:rPr>
        <w:t>3</w:t>
      </w:r>
      <w:r>
        <w:rPr>
          <w:rFonts w:hint="default" w:ascii="Times New Roman" w:hAnsi="Times New Roman" w:eastAsia="仿宋_GB2312" w:cs="Times New Roman"/>
          <w:snapToGrid w:val="0"/>
          <w:color w:val="auto"/>
          <w:spacing w:val="13"/>
          <w:kern w:val="0"/>
          <w:sz w:val="32"/>
          <w:szCs w:val="32"/>
          <w:highlight w:val="none"/>
          <w:lang w:val="en-US" w:eastAsia="zh-CN" w:bidi="ar-SA"/>
        </w:rPr>
        <w:t xml:space="preserve">户，其中企业法人主要股东 </w:t>
      </w:r>
      <w:r>
        <w:rPr>
          <w:rFonts w:hint="eastAsia" w:ascii="Times New Roman" w:hAnsi="Times New Roman" w:eastAsia="仿宋_GB2312" w:cs="Times New Roman"/>
          <w:snapToGrid w:val="0"/>
          <w:color w:val="auto"/>
          <w:spacing w:val="13"/>
          <w:kern w:val="0"/>
          <w:sz w:val="32"/>
          <w:szCs w:val="32"/>
          <w:highlight w:val="none"/>
          <w:lang w:val="en-US" w:eastAsia="zh-CN" w:bidi="ar-SA"/>
        </w:rPr>
        <w:t>6</w:t>
      </w:r>
      <w:r>
        <w:rPr>
          <w:rFonts w:hint="default" w:ascii="Times New Roman" w:hAnsi="Times New Roman" w:eastAsia="仿宋_GB2312" w:cs="Times New Roman"/>
          <w:snapToGrid w:val="0"/>
          <w:color w:val="auto"/>
          <w:spacing w:val="13"/>
          <w:kern w:val="0"/>
          <w:sz w:val="32"/>
          <w:szCs w:val="32"/>
          <w:highlight w:val="none"/>
          <w:lang w:val="en-US" w:eastAsia="zh-CN" w:bidi="ar-SA"/>
        </w:rPr>
        <w:t xml:space="preserve"> 户，自然人主要股东</w:t>
      </w:r>
      <w:r>
        <w:rPr>
          <w:rFonts w:hint="eastAsia" w:ascii="Times New Roman" w:hAnsi="Times New Roman" w:eastAsia="仿宋_GB2312" w:cs="Times New Roman"/>
          <w:snapToGrid w:val="0"/>
          <w:color w:val="auto"/>
          <w:spacing w:val="13"/>
          <w:kern w:val="0"/>
          <w:sz w:val="32"/>
          <w:szCs w:val="32"/>
          <w:highlight w:val="none"/>
          <w:lang w:val="en-US" w:eastAsia="zh-CN" w:bidi="ar-SA"/>
        </w:rPr>
        <w:t>7</w:t>
      </w:r>
      <w:r>
        <w:rPr>
          <w:rFonts w:hint="default" w:ascii="Times New Roman" w:hAnsi="Times New Roman" w:eastAsia="仿宋_GB2312" w:cs="Times New Roman"/>
          <w:snapToGrid w:val="0"/>
          <w:color w:val="auto"/>
          <w:spacing w:val="13"/>
          <w:kern w:val="0"/>
          <w:sz w:val="32"/>
          <w:szCs w:val="32"/>
          <w:highlight w:val="none"/>
          <w:lang w:val="en-US" w:eastAsia="zh-CN" w:bidi="ar-SA"/>
        </w:rPr>
        <w:t>户，持股情况如下：</w:t>
      </w:r>
    </w:p>
    <w:tbl>
      <w:tblPr>
        <w:tblStyle w:val="6"/>
        <w:tblW w:w="89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800"/>
        <w:gridCol w:w="1185"/>
        <w:gridCol w:w="2100"/>
        <w:gridCol w:w="2000"/>
      </w:tblGrid>
      <w:tr w14:paraId="3136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6B23CB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股东名称</w:t>
            </w:r>
          </w:p>
        </w:tc>
        <w:tc>
          <w:tcPr>
            <w:tcW w:w="18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CA2D8F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与本行关联关系</w:t>
            </w:r>
          </w:p>
        </w:tc>
        <w:tc>
          <w:tcPr>
            <w:tcW w:w="118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4C21DA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股权余额（万股）</w:t>
            </w:r>
          </w:p>
        </w:tc>
        <w:tc>
          <w:tcPr>
            <w:tcW w:w="21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E2D39D2">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关联方、一致行动人股权余额（万股）</w:t>
            </w:r>
          </w:p>
        </w:tc>
        <w:tc>
          <w:tcPr>
            <w:tcW w:w="200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5B5E08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highlight w:val="none"/>
                <w:lang w:val="en-US" w:eastAsia="zh-CN" w:bidi="ar-SA"/>
              </w:rPr>
            </w:pPr>
            <w:r>
              <w:rPr>
                <w:rFonts w:hint="default" w:ascii="Times New Roman" w:hAnsi="Times New Roman" w:eastAsia="宋体" w:cs="Times New Roman"/>
                <w:b/>
                <w:bCs/>
                <w:snapToGrid w:val="0"/>
                <w:color w:val="FFFFFF"/>
                <w:spacing w:val="7"/>
                <w:kern w:val="0"/>
                <w:sz w:val="20"/>
                <w:szCs w:val="20"/>
                <w:highlight w:val="none"/>
                <w:lang w:val="en-US" w:eastAsia="zh-CN" w:bidi="ar-SA"/>
              </w:rPr>
              <w:t>合计持股比例</w:t>
            </w:r>
          </w:p>
        </w:tc>
      </w:tr>
      <w:tr w14:paraId="5707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857D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金绣集团有限公司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11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855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FB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80.05</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131C1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5.04</w:t>
            </w:r>
          </w:p>
        </w:tc>
      </w:tr>
      <w:tr w14:paraId="0E1C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827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真爱集团有限公司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D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E44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ACC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31.72</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409EBE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5.02</w:t>
            </w:r>
          </w:p>
        </w:tc>
      </w:tr>
      <w:tr w14:paraId="4A66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BBF9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华统集团有限公司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80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9BA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AC9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12.89</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40FFE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5.01</w:t>
            </w:r>
          </w:p>
        </w:tc>
      </w:tr>
      <w:tr w14:paraId="11F4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85BA13">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highlight w:val="none"/>
                <w:u w:val="none"/>
                <w:lang w:val="en-US" w:eastAsia="zh-CN" w:bidi="ar"/>
              </w:rPr>
            </w:pPr>
            <w:r>
              <w:rPr>
                <w:rFonts w:hint="eastAsia" w:ascii="宋体" w:hAnsi="宋体" w:eastAsia="宋体" w:cs="宋体"/>
                <w:i w:val="0"/>
                <w:iCs w:val="0"/>
                <w:snapToGrid w:val="0"/>
                <w:color w:val="auto"/>
                <w:kern w:val="0"/>
                <w:sz w:val="20"/>
                <w:szCs w:val="20"/>
                <w:highlight w:val="none"/>
                <w:u w:val="none"/>
                <w:lang w:val="en-US" w:eastAsia="zh-CN" w:bidi="ar"/>
              </w:rPr>
              <w:t>浙江省财开集团</w:t>
            </w:r>
          </w:p>
          <w:p w14:paraId="1D04A7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6F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40C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E943">
            <w:pPr>
              <w:jc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0C446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r>
      <w:tr w14:paraId="36E6A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DEB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义乌市国有资本运营有限公司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2A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880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28EB">
            <w:pPr>
              <w:jc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AB05F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w:t>
            </w:r>
          </w:p>
        </w:tc>
      </w:tr>
      <w:tr w14:paraId="51E2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8B61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义乌市少林袜业有限公司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7E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派驻监事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968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374.88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3DBB">
            <w:pPr>
              <w:jc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54D6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0.19</w:t>
            </w:r>
          </w:p>
        </w:tc>
      </w:tr>
      <w:tr w14:paraId="3109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383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郑小毛</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42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非执行董事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F00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561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374.88</w:t>
            </w:r>
            <w:r>
              <w:rPr>
                <w:rFonts w:hint="default" w:ascii="Times New Roman" w:hAnsi="Times New Roman" w:eastAsia="宋体" w:cs="Times New Roman"/>
                <w:i w:val="0"/>
                <w:iCs w:val="0"/>
                <w:snapToGrid w:val="0"/>
                <w:color w:val="000000"/>
                <w:kern w:val="0"/>
                <w:sz w:val="20"/>
                <w:szCs w:val="20"/>
                <w:highlight w:val="none"/>
                <w:u w:val="none"/>
                <w:lang w:val="en-US" w:eastAsia="zh-CN" w:bidi="ar"/>
              </w:rPr>
              <w:t>（天都混凝土关系人）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25F20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0.2</w:t>
            </w:r>
          </w:p>
        </w:tc>
      </w:tr>
      <w:tr w14:paraId="41B3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45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金江东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5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2F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22.73</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1BB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9941.87</w:t>
            </w:r>
            <w:r>
              <w:rPr>
                <w:rFonts w:hint="default" w:ascii="Times New Roman" w:hAnsi="Times New Roman" w:eastAsia="宋体" w:cs="Times New Roman"/>
                <w:i w:val="0"/>
                <w:iCs w:val="0"/>
                <w:snapToGrid w:val="0"/>
                <w:color w:val="000000"/>
                <w:kern w:val="0"/>
                <w:sz w:val="20"/>
                <w:szCs w:val="20"/>
                <w:highlight w:val="none"/>
                <w:u w:val="none"/>
                <w:lang w:val="en-US" w:eastAsia="zh-CN" w:bidi="ar"/>
              </w:rPr>
              <w:t>（金绣集团关系人）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49297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5.04</w:t>
            </w:r>
          </w:p>
        </w:tc>
      </w:tr>
      <w:tr w14:paraId="059C7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A5FCD1">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highlight w:val="none"/>
                <w:u w:val="none"/>
                <w:lang w:val="en-US" w:eastAsia="zh-CN" w:bidi="ar"/>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傅照华</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35B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highlight w:val="none"/>
                <w:u w:val="none"/>
                <w:lang w:val="en-US" w:eastAsia="zh-CN" w:bidi="ar"/>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监事长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8675">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highlight w:val="none"/>
                <w:u w:val="none"/>
                <w:lang w:val="en-US" w:eastAsia="zh-CN" w:bidi="ar"/>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76.67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A78F">
            <w:pPr>
              <w:keepNext w:val="0"/>
              <w:keepLines w:val="0"/>
              <w:widowControl/>
              <w:suppressLineNumbers w:val="0"/>
              <w:jc w:val="center"/>
              <w:textAlignment w:val="center"/>
              <w:rPr>
                <w:rFonts w:hint="eastAsia" w:ascii="Times New Roman" w:hAnsi="Times New Roman" w:eastAsia="宋体" w:cs="Times New Roman"/>
                <w:i w:val="0"/>
                <w:iCs w:val="0"/>
                <w:snapToGrid w:val="0"/>
                <w:color w:val="auto"/>
                <w:kern w:val="0"/>
                <w:sz w:val="20"/>
                <w:szCs w:val="20"/>
                <w:highlight w:val="none"/>
                <w:u w:val="none"/>
                <w:lang w:val="en-US" w:eastAsia="zh-CN" w:bidi="ar"/>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6A03C5">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highlight w:val="none"/>
                <w:u w:val="none"/>
                <w:lang w:val="en-US" w:eastAsia="zh-CN" w:bidi="ar"/>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0.04</w:t>
            </w:r>
          </w:p>
        </w:tc>
      </w:tr>
      <w:tr w14:paraId="50ED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F7B967">
            <w:pPr>
              <w:keepNext w:val="0"/>
              <w:keepLines w:val="0"/>
              <w:widowControl/>
              <w:suppressLineNumbers w:val="0"/>
              <w:jc w:val="center"/>
              <w:textAlignment w:val="center"/>
              <w:rPr>
                <w:rFonts w:hint="eastAsia" w:ascii="Times New Roman" w:hAnsi="Times New Roman" w:eastAsia="宋体" w:cs="Times New Roman"/>
                <w:i w:val="0"/>
                <w:iCs w:val="0"/>
                <w:color w:val="auto"/>
                <w:sz w:val="20"/>
                <w:szCs w:val="20"/>
                <w:highlight w:val="none"/>
                <w:u w:val="none"/>
                <w:lang w:eastAsia="zh-CN"/>
              </w:rPr>
            </w:pPr>
            <w:r>
              <w:rPr>
                <w:rFonts w:hint="eastAsia" w:ascii="Times New Roman" w:hAnsi="Times New Roman" w:eastAsia="宋体" w:cs="Times New Roman"/>
                <w:i w:val="0"/>
                <w:iCs w:val="0"/>
                <w:color w:val="auto"/>
                <w:sz w:val="20"/>
                <w:szCs w:val="20"/>
                <w:highlight w:val="none"/>
                <w:u w:val="none"/>
                <w:lang w:eastAsia="zh-CN"/>
              </w:rPr>
              <w:t>葛小平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E6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038D">
            <w:pPr>
              <w:keepNext w:val="0"/>
              <w:keepLines w:val="0"/>
              <w:widowControl/>
              <w:suppressLineNumbers w:val="0"/>
              <w:jc w:val="center"/>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102.12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13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331.46</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F0D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eastAsia" w:ascii="Times New Roman" w:hAnsi="Times New Roman" w:eastAsia="宋体" w:cs="Times New Roman"/>
                <w:i w:val="0"/>
                <w:iCs w:val="0"/>
                <w:color w:val="auto"/>
                <w:sz w:val="20"/>
                <w:szCs w:val="20"/>
                <w:highlight w:val="none"/>
                <w:u w:val="none"/>
                <w:lang w:val="en-US" w:eastAsia="zh-CN"/>
              </w:rPr>
              <w:t>0.17</w:t>
            </w:r>
          </w:p>
        </w:tc>
      </w:tr>
      <w:tr w14:paraId="2747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A5D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余埴民</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C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股东监事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707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B5CA">
            <w:pPr>
              <w:jc w:val="center"/>
              <w:rPr>
                <w:rFonts w:hint="default" w:ascii="Times New Roman" w:hAnsi="Times New Roman" w:eastAsia="宋体" w:cs="Times New Roman"/>
                <w:i w:val="0"/>
                <w:iCs w:val="0"/>
                <w:color w:val="FF0000"/>
                <w:sz w:val="20"/>
                <w:szCs w:val="20"/>
                <w:highlight w:val="none"/>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4C1C7C">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0.01</w:t>
            </w:r>
          </w:p>
        </w:tc>
      </w:tr>
      <w:tr w14:paraId="76B4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B9DA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刘锋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B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E66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3D60">
            <w:pPr>
              <w:jc w:val="center"/>
              <w:rPr>
                <w:rFonts w:hint="default" w:ascii="Times New Roman" w:hAnsi="Times New Roman" w:eastAsia="宋体" w:cs="Times New Roman"/>
                <w:i w:val="0"/>
                <w:iCs w:val="0"/>
                <w:color w:val="FF0000"/>
                <w:sz w:val="20"/>
                <w:szCs w:val="20"/>
                <w:highlight w:val="none"/>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A2C6C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0.04</w:t>
            </w:r>
          </w:p>
        </w:tc>
      </w:tr>
      <w:tr w14:paraId="5BAE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11ED8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陈国华</w:t>
            </w:r>
          </w:p>
        </w:tc>
        <w:tc>
          <w:tcPr>
            <w:tcW w:w="18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B3DCF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职工监事</w:t>
            </w:r>
          </w:p>
        </w:tc>
        <w:tc>
          <w:tcPr>
            <w:tcW w:w="118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37FD0C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61.41</w:t>
            </w:r>
          </w:p>
        </w:tc>
        <w:tc>
          <w:tcPr>
            <w:tcW w:w="21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05CB1F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28.84</w:t>
            </w:r>
          </w:p>
        </w:tc>
        <w:tc>
          <w:tcPr>
            <w:tcW w:w="200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5EE5E5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0.0</w:t>
            </w: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w:t>
            </w:r>
          </w:p>
        </w:tc>
      </w:tr>
    </w:tbl>
    <w:p w14:paraId="1527D927">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highlight w:val="none"/>
        </w:rPr>
      </w:pPr>
      <w:r>
        <w:rPr>
          <w:rFonts w:hint="default" w:ascii="Times New Roman" w:hAnsi="Times New Roman" w:eastAsia="仿宋_GB2312" w:cs="Times New Roman"/>
          <w:b/>
          <w:bCs/>
          <w:spacing w:val="13"/>
          <w:sz w:val="32"/>
          <w:szCs w:val="32"/>
          <w:highlight w:val="none"/>
        </w:rPr>
        <w:t>2.截至报告期末主要股东及其控股股东、实际控制人</w:t>
      </w:r>
      <w:r>
        <w:rPr>
          <w:rFonts w:hint="eastAsia" w:ascii="Times New Roman" w:hAnsi="Times New Roman" w:eastAsia="仿宋_GB2312" w:cs="Times New Roman"/>
          <w:b/>
          <w:bCs/>
          <w:spacing w:val="13"/>
          <w:sz w:val="32"/>
          <w:szCs w:val="32"/>
          <w:highlight w:val="none"/>
          <w:lang w:eastAsia="zh-CN"/>
        </w:rPr>
        <w:t>、</w:t>
      </w:r>
      <w:r>
        <w:rPr>
          <w:rFonts w:hint="default" w:ascii="Times New Roman" w:hAnsi="Times New Roman" w:eastAsia="仿宋_GB2312" w:cs="Times New Roman"/>
          <w:b/>
          <w:bCs/>
          <w:spacing w:val="13"/>
          <w:sz w:val="32"/>
          <w:szCs w:val="32"/>
          <w:highlight w:val="none"/>
        </w:rPr>
        <w:t>一致行动人、最终受益人情况</w:t>
      </w:r>
    </w:p>
    <w:tbl>
      <w:tblPr>
        <w:tblStyle w:val="6"/>
        <w:tblW w:w="8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1755"/>
        <w:gridCol w:w="1725"/>
        <w:gridCol w:w="2040"/>
        <w:gridCol w:w="1442"/>
      </w:tblGrid>
      <w:tr w14:paraId="4B2A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028"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A5889E0">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股东名称</w:t>
            </w:r>
          </w:p>
        </w:tc>
        <w:tc>
          <w:tcPr>
            <w:tcW w:w="17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C2C1857">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主要股东之控股股东</w:t>
            </w:r>
          </w:p>
        </w:tc>
        <w:tc>
          <w:tcPr>
            <w:tcW w:w="172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45D9FA6D">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主要股东之实际控制人</w:t>
            </w:r>
          </w:p>
        </w:tc>
        <w:tc>
          <w:tcPr>
            <w:tcW w:w="20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307D2208">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主要股东之最终受益人</w:t>
            </w:r>
          </w:p>
        </w:tc>
        <w:tc>
          <w:tcPr>
            <w:tcW w:w="1442"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7190839C">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highlight w:val="none"/>
                <w:lang w:val="en-US" w:eastAsia="zh-CN" w:bidi="ar-SA"/>
              </w:rPr>
            </w:pPr>
            <w:r>
              <w:rPr>
                <w:rFonts w:hint="eastAsia" w:ascii="宋体" w:hAnsi="宋体" w:eastAsia="宋体" w:cs="宋体"/>
                <w:b/>
                <w:bCs/>
                <w:snapToGrid w:val="0"/>
                <w:color w:val="FFFFFF"/>
                <w:spacing w:val="7"/>
                <w:kern w:val="0"/>
                <w:sz w:val="20"/>
                <w:szCs w:val="20"/>
                <w:highlight w:val="none"/>
                <w:lang w:val="en-US" w:eastAsia="zh-CN" w:bidi="ar-SA"/>
              </w:rPr>
              <w:t>主要股东之</w:t>
            </w:r>
            <w:r>
              <w:rPr>
                <w:rFonts w:hint="eastAsia" w:ascii="宋体" w:hAnsi="宋体" w:eastAsia="宋体" w:cs="宋体"/>
                <w:b/>
                <w:bCs/>
                <w:snapToGrid w:val="0"/>
                <w:color w:val="FFFFFF"/>
                <w:spacing w:val="7"/>
                <w:kern w:val="0"/>
                <w:sz w:val="20"/>
                <w:szCs w:val="20"/>
                <w:highlight w:val="none"/>
                <w:lang w:val="en-US" w:eastAsia="zh-CN" w:bidi="ar-SA"/>
              </w:rPr>
              <w:br w:type="textWrapping"/>
            </w:r>
            <w:r>
              <w:rPr>
                <w:rFonts w:hint="eastAsia" w:ascii="宋体" w:hAnsi="宋体" w:eastAsia="宋体" w:cs="宋体"/>
                <w:b/>
                <w:bCs/>
                <w:snapToGrid w:val="0"/>
                <w:color w:val="FFFFFF"/>
                <w:spacing w:val="7"/>
                <w:kern w:val="0"/>
                <w:sz w:val="20"/>
                <w:szCs w:val="20"/>
                <w:highlight w:val="none"/>
                <w:lang w:val="en-US" w:eastAsia="zh-CN" w:bidi="ar-SA"/>
              </w:rPr>
              <w:t>一致行动人</w:t>
            </w:r>
          </w:p>
        </w:tc>
      </w:tr>
      <w:tr w14:paraId="707B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5309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金绣集团有限公司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05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金亮</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8D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金伟东</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1C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金亮、金蕾</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53FE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r w14:paraId="6C66A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F742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真爱集团有限公司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2D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郑期中</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A3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郑期中</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7D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郑期中、刘元庆、刘忠庆</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727B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r w14:paraId="3670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39E3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华统集团有限公司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37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朱俭勇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08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朱俭勇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45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朱俭勇、朱俭军、朱凯</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0D25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r w14:paraId="570E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17CDC5">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highlight w:val="none"/>
                <w:u w:val="none"/>
                <w:lang w:val="en-US" w:eastAsia="zh-CN" w:bidi="ar"/>
              </w:rPr>
            </w:pPr>
            <w:r>
              <w:rPr>
                <w:rFonts w:hint="eastAsia" w:ascii="宋体" w:hAnsi="宋体" w:eastAsia="宋体" w:cs="宋体"/>
                <w:i w:val="0"/>
                <w:iCs w:val="0"/>
                <w:snapToGrid w:val="0"/>
                <w:color w:val="auto"/>
                <w:kern w:val="0"/>
                <w:sz w:val="20"/>
                <w:szCs w:val="20"/>
                <w:highlight w:val="none"/>
                <w:u w:val="none"/>
                <w:lang w:val="en-US" w:eastAsia="zh-CN" w:bidi="ar"/>
              </w:rPr>
              <w:t>浙江省财开集团</w:t>
            </w:r>
          </w:p>
          <w:p w14:paraId="0FCA83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53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浙江省财政厅</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0C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浙江省财政厅</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8F2C">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highlight w:val="none"/>
                <w:u w:val="none"/>
                <w:lang w:val="en-US" w:eastAsia="zh-CN" w:bidi="ar"/>
              </w:rPr>
            </w:pPr>
            <w:r>
              <w:rPr>
                <w:rFonts w:hint="eastAsia" w:ascii="宋体" w:hAnsi="宋体" w:eastAsia="宋体" w:cs="宋体"/>
                <w:i w:val="0"/>
                <w:iCs w:val="0"/>
                <w:snapToGrid w:val="0"/>
                <w:color w:val="auto"/>
                <w:kern w:val="0"/>
                <w:sz w:val="20"/>
                <w:szCs w:val="20"/>
                <w:highlight w:val="none"/>
                <w:u w:val="none"/>
                <w:lang w:val="en-US" w:eastAsia="zh-CN" w:bidi="ar"/>
              </w:rPr>
              <w:t>浙江省财开集团</w:t>
            </w:r>
          </w:p>
          <w:p w14:paraId="53F90BF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有限公司</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7B094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r w14:paraId="4D3D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7FF4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义乌市国有资本运营有限公司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C43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义乌市人民政府国有资产监督管理办公室</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84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义乌市人民政府国有资产监督管理办公室</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83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义乌市人民政府国有资产监督管理办公室</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AB4A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r w14:paraId="5332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028" w:type="dxa"/>
            <w:tcBorders>
              <w:top w:val="single" w:color="000000" w:sz="4" w:space="0"/>
              <w:left w:val="single" w:color="000000" w:sz="8" w:space="0"/>
              <w:bottom w:val="single" w:color="000000" w:sz="8" w:space="0"/>
              <w:right w:val="single" w:color="000000" w:sz="4" w:space="0"/>
            </w:tcBorders>
            <w:shd w:val="clear" w:color="auto" w:fill="auto"/>
            <w:vAlign w:val="center"/>
          </w:tcPr>
          <w:p w14:paraId="736432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义乌市少林袜业有限公司</w:t>
            </w:r>
          </w:p>
        </w:tc>
        <w:tc>
          <w:tcPr>
            <w:tcW w:w="17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144D6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傅文豪</w:t>
            </w:r>
          </w:p>
        </w:tc>
        <w:tc>
          <w:tcPr>
            <w:tcW w:w="172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DD90E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傅小林</w:t>
            </w:r>
          </w:p>
        </w:tc>
        <w:tc>
          <w:tcPr>
            <w:tcW w:w="20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EBF18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傅文豪、傅小林、丁爱仙</w:t>
            </w:r>
          </w:p>
        </w:tc>
        <w:tc>
          <w:tcPr>
            <w:tcW w:w="1442"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C86327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无</w:t>
            </w:r>
          </w:p>
        </w:tc>
      </w:tr>
    </w:tbl>
    <w:p w14:paraId="2C70F0E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highlight w:val="none"/>
        </w:rPr>
      </w:pPr>
      <w:r>
        <w:rPr>
          <w:rFonts w:hint="default" w:ascii="Times New Roman" w:hAnsi="Times New Roman" w:eastAsia="仿宋_GB2312" w:cs="Times New Roman"/>
          <w:b/>
          <w:bCs/>
          <w:spacing w:val="13"/>
          <w:sz w:val="32"/>
          <w:szCs w:val="32"/>
          <w:highlight w:val="none"/>
          <w:lang w:val="en-US" w:eastAsia="zh-CN"/>
        </w:rPr>
        <w:t>3.</w:t>
      </w:r>
      <w:r>
        <w:rPr>
          <w:rFonts w:hint="default" w:ascii="Times New Roman" w:hAnsi="Times New Roman" w:eastAsia="仿宋_GB2312" w:cs="Times New Roman"/>
          <w:b/>
          <w:bCs/>
          <w:spacing w:val="13"/>
          <w:sz w:val="32"/>
          <w:szCs w:val="32"/>
          <w:highlight w:val="none"/>
        </w:rPr>
        <w:t>主要股东股权质押、冻结情况</w:t>
      </w:r>
    </w:p>
    <w:p w14:paraId="015942E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报告期</w:t>
      </w:r>
      <w:r>
        <w:rPr>
          <w:rFonts w:hint="default" w:ascii="Times New Roman" w:hAnsi="Times New Roman" w:eastAsia="仿宋_GB2312" w:cs="Times New Roman"/>
          <w:color w:val="auto"/>
          <w:sz w:val="32"/>
          <w:szCs w:val="32"/>
          <w:highlight w:val="none"/>
        </w:rPr>
        <w:t>末，本行</w:t>
      </w:r>
      <w:r>
        <w:rPr>
          <w:rFonts w:hint="default" w:ascii="Times New Roman" w:hAnsi="Times New Roman" w:eastAsia="仿宋_GB2312" w:cs="Times New Roman"/>
          <w:color w:val="auto"/>
          <w:sz w:val="32"/>
          <w:szCs w:val="32"/>
          <w:highlight w:val="none"/>
          <w:lang w:eastAsia="zh-CN"/>
        </w:rPr>
        <w:t>主要</w:t>
      </w:r>
      <w:r>
        <w:rPr>
          <w:rFonts w:hint="default" w:ascii="Times New Roman" w:hAnsi="Times New Roman" w:eastAsia="仿宋_GB2312" w:cs="Times New Roman"/>
          <w:color w:val="auto"/>
          <w:sz w:val="32"/>
          <w:szCs w:val="32"/>
          <w:highlight w:val="none"/>
        </w:rPr>
        <w:t>股东质押股份合计</w:t>
      </w:r>
      <w:r>
        <w:rPr>
          <w:rFonts w:hint="eastAsia" w:ascii="Times New Roman" w:hAnsi="Times New Roman" w:eastAsia="仿宋_GB2312" w:cs="Times New Roman"/>
          <w:sz w:val="32"/>
          <w:szCs w:val="32"/>
          <w:highlight w:val="none"/>
          <w:lang w:val="en-US" w:eastAsia="zh-CN"/>
        </w:rPr>
        <w:t>8900</w:t>
      </w:r>
      <w:r>
        <w:rPr>
          <w:rFonts w:hint="default" w:ascii="Times New Roman" w:hAnsi="Times New Roman" w:eastAsia="仿宋_GB2312" w:cs="Times New Roman"/>
          <w:sz w:val="32"/>
          <w:szCs w:val="32"/>
          <w:highlight w:val="none"/>
          <w:lang w:eastAsia="zh-CN"/>
        </w:rPr>
        <w:t>万</w:t>
      </w:r>
      <w:r>
        <w:rPr>
          <w:rFonts w:hint="default" w:ascii="Times New Roman" w:hAnsi="Times New Roman" w:eastAsia="仿宋_GB2312" w:cs="Times New Roman"/>
          <w:sz w:val="32"/>
          <w:szCs w:val="32"/>
          <w:highlight w:val="none"/>
        </w:rPr>
        <w:t>股</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占本行总股本的</w:t>
      </w:r>
      <w:r>
        <w:rPr>
          <w:rFonts w:hint="default"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w:t>
      </w:r>
    </w:p>
    <w:tbl>
      <w:tblPr>
        <w:tblStyle w:val="8"/>
        <w:tblW w:w="9015"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Layout w:type="fixed"/>
        <w:tblCellMar>
          <w:top w:w="0" w:type="dxa"/>
          <w:left w:w="0" w:type="dxa"/>
          <w:bottom w:w="0" w:type="dxa"/>
          <w:right w:w="0" w:type="dxa"/>
        </w:tblCellMar>
      </w:tblPr>
      <w:tblGrid>
        <w:gridCol w:w="1950"/>
        <w:gridCol w:w="1995"/>
        <w:gridCol w:w="1935"/>
        <w:gridCol w:w="3135"/>
      </w:tblGrid>
      <w:tr w14:paraId="7453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PrEx>
        <w:trPr>
          <w:trHeight w:val="631" w:hRule="atLeast"/>
        </w:trPr>
        <w:tc>
          <w:tcPr>
            <w:tcW w:w="1950" w:type="dxa"/>
            <w:tcBorders>
              <w:left w:val="single" w:color="000000" w:sz="2" w:space="0"/>
              <w:bottom w:val="single" w:color="000000" w:sz="2" w:space="0"/>
              <w:right w:val="single" w:color="000000" w:sz="2" w:space="0"/>
            </w:tcBorders>
            <w:shd w:val="clear" w:color="auto" w:fill="0070C0"/>
            <w:vAlign w:val="top"/>
          </w:tcPr>
          <w:p w14:paraId="1867D5D4">
            <w:pPr>
              <w:pStyle w:val="9"/>
              <w:spacing w:before="212" w:line="228" w:lineRule="auto"/>
              <w:ind w:left="625"/>
              <w:rPr>
                <w:rFonts w:hint="default" w:ascii="Times New Roman" w:hAnsi="Times New Roman" w:cs="Times New Roman"/>
                <w:highlight w:val="none"/>
              </w:rPr>
            </w:pPr>
            <w:r>
              <w:rPr>
                <w:rFonts w:hint="default" w:ascii="Times New Roman" w:hAnsi="Times New Roman" w:cs="Times New Roman"/>
                <w:color w:val="FFFFFF"/>
                <w:spacing w:val="7"/>
                <w:highlight w:val="none"/>
                <w:lang w:eastAsia="zh-CN"/>
              </w:rPr>
              <w:t>主要</w:t>
            </w:r>
            <w:r>
              <w:rPr>
                <w:rFonts w:hint="default" w:ascii="Times New Roman" w:hAnsi="Times New Roman" w:cs="Times New Roman"/>
                <w:color w:val="FFFFFF"/>
                <w:spacing w:val="7"/>
                <w:highlight w:val="none"/>
              </w:rPr>
              <w:t>股东名称</w:t>
            </w:r>
          </w:p>
        </w:tc>
        <w:tc>
          <w:tcPr>
            <w:tcW w:w="1995" w:type="dxa"/>
            <w:tcBorders>
              <w:left w:val="single" w:color="000000" w:sz="2" w:space="0"/>
              <w:bottom w:val="single" w:color="000000" w:sz="2" w:space="0"/>
              <w:right w:val="single" w:color="000000" w:sz="2" w:space="0"/>
            </w:tcBorders>
            <w:shd w:val="clear" w:color="auto" w:fill="0070C0"/>
            <w:vAlign w:val="top"/>
          </w:tcPr>
          <w:p w14:paraId="3F6A7ACB">
            <w:pPr>
              <w:pStyle w:val="9"/>
              <w:spacing w:before="212" w:line="230" w:lineRule="auto"/>
              <w:ind w:left="229"/>
              <w:rPr>
                <w:rFonts w:hint="default" w:ascii="Times New Roman" w:hAnsi="Times New Roman" w:eastAsia="宋体" w:cs="Times New Roman"/>
                <w:highlight w:val="none"/>
                <w:lang w:eastAsia="zh-CN"/>
              </w:rPr>
            </w:pPr>
            <w:r>
              <w:rPr>
                <w:rFonts w:hint="default" w:ascii="Times New Roman" w:hAnsi="Times New Roman" w:eastAsia="宋体" w:cs="Times New Roman"/>
                <w:color w:val="FFFFFF"/>
                <w:spacing w:val="7"/>
                <w:highlight w:val="none"/>
                <w:lang w:eastAsia="zh-CN"/>
              </w:rPr>
              <w:t>持有股份（万股）</w:t>
            </w:r>
          </w:p>
        </w:tc>
        <w:tc>
          <w:tcPr>
            <w:tcW w:w="1935" w:type="dxa"/>
            <w:tcBorders>
              <w:left w:val="single" w:color="000000" w:sz="2" w:space="0"/>
              <w:bottom w:val="single" w:color="000000" w:sz="2" w:space="0"/>
              <w:right w:val="single" w:color="000000" w:sz="2" w:space="0"/>
            </w:tcBorders>
            <w:shd w:val="clear" w:color="auto" w:fill="0070C0"/>
            <w:vAlign w:val="top"/>
          </w:tcPr>
          <w:p w14:paraId="448985C1">
            <w:pPr>
              <w:pStyle w:val="9"/>
              <w:spacing w:before="212" w:line="240" w:lineRule="auto"/>
              <w:ind w:left="123"/>
              <w:rPr>
                <w:rFonts w:hint="default" w:ascii="Times New Roman" w:hAnsi="Times New Roman" w:eastAsia="宋体" w:cs="Times New Roman"/>
                <w:highlight w:val="none"/>
                <w:lang w:eastAsia="zh-CN"/>
              </w:rPr>
            </w:pPr>
            <w:r>
              <w:rPr>
                <w:rFonts w:hint="default" w:ascii="Times New Roman" w:hAnsi="Times New Roman" w:cs="Times New Roman"/>
                <w:color w:val="FFFFFF"/>
                <w:spacing w:val="7"/>
                <w:highlight w:val="none"/>
                <w:lang w:eastAsia="zh-CN"/>
              </w:rPr>
              <w:t>质押股份（万股）</w:t>
            </w:r>
          </w:p>
        </w:tc>
        <w:tc>
          <w:tcPr>
            <w:tcW w:w="3135" w:type="dxa"/>
            <w:tcBorders>
              <w:left w:val="single" w:color="000000" w:sz="2" w:space="0"/>
              <w:bottom w:val="single" w:color="000000" w:sz="2" w:space="0"/>
              <w:right w:val="single" w:color="000000" w:sz="2" w:space="0"/>
            </w:tcBorders>
            <w:shd w:val="clear" w:color="auto" w:fill="0070C0"/>
            <w:vAlign w:val="top"/>
          </w:tcPr>
          <w:p w14:paraId="51D74F31">
            <w:pPr>
              <w:pStyle w:val="9"/>
              <w:spacing w:before="181" w:line="240" w:lineRule="auto"/>
              <w:ind w:left="1373" w:leftChars="154" w:hanging="1050" w:hangingChars="500"/>
              <w:rPr>
                <w:rFonts w:hint="default" w:ascii="Times New Roman" w:hAnsi="Times New Roman" w:eastAsia="宋体" w:cs="Times New Roman"/>
                <w:highlight w:val="none"/>
                <w:lang w:eastAsia="zh-CN"/>
              </w:rPr>
            </w:pPr>
            <w:r>
              <w:rPr>
                <w:rFonts w:hint="default" w:ascii="Times New Roman" w:hAnsi="Times New Roman" w:cs="Times New Roman"/>
                <w:color w:val="FFFFFF"/>
                <w:spacing w:val="5"/>
                <w:position w:val="2"/>
                <w:highlight w:val="none"/>
                <w:lang w:eastAsia="zh-CN"/>
              </w:rPr>
              <w:t>出质股份占其所持股份的</w:t>
            </w:r>
            <w:r>
              <w:rPr>
                <w:rFonts w:hint="default" w:ascii="Times New Roman" w:hAnsi="Times New Roman" w:cs="Times New Roman"/>
                <w:color w:val="FFFFFF"/>
                <w:spacing w:val="5"/>
                <w:position w:val="2"/>
                <w:highlight w:val="none"/>
              </w:rPr>
              <w:t>比例</w:t>
            </w:r>
            <w:r>
              <w:rPr>
                <w:rFonts w:hint="default" w:ascii="Times New Roman" w:hAnsi="Times New Roman" w:cs="Times New Roman"/>
                <w:color w:val="FFFFFF"/>
                <w:spacing w:val="5"/>
                <w:position w:val="2"/>
                <w:highlight w:val="none"/>
                <w:lang w:eastAsia="zh-CN"/>
              </w:rPr>
              <w:t>（</w:t>
            </w:r>
            <w:r>
              <w:rPr>
                <w:rFonts w:hint="default" w:ascii="Times New Roman" w:hAnsi="Times New Roman" w:eastAsia="Times New Roman" w:cs="Times New Roman"/>
                <w:color w:val="FFFFFF"/>
                <w:spacing w:val="5"/>
                <w:position w:val="2"/>
                <w:highlight w:val="none"/>
              </w:rPr>
              <w:t>%</w:t>
            </w:r>
            <w:r>
              <w:rPr>
                <w:rFonts w:hint="default" w:ascii="Times New Roman" w:hAnsi="Times New Roman" w:eastAsia="宋体" w:cs="Times New Roman"/>
                <w:color w:val="FFFFFF"/>
                <w:spacing w:val="5"/>
                <w:position w:val="2"/>
                <w:highlight w:val="none"/>
                <w:lang w:eastAsia="zh-CN"/>
              </w:rPr>
              <w:t>）</w:t>
            </w:r>
          </w:p>
        </w:tc>
      </w:tr>
      <w:tr w14:paraId="56B42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4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3D6D52">
            <w:pPr>
              <w:pStyle w:val="9"/>
              <w:spacing w:before="56" w:line="261" w:lineRule="auto"/>
              <w:ind w:left="45" w:right="25" w:hanging="3"/>
              <w:jc w:val="center"/>
              <w:rPr>
                <w:rFonts w:hint="default" w:ascii="Times New Roman" w:hAnsi="Times New Roman" w:cs="Times New Roman"/>
                <w:sz w:val="20"/>
                <w:szCs w:val="20"/>
                <w:highlight w:val="none"/>
              </w:rPr>
            </w:pPr>
            <w:r>
              <w:rPr>
                <w:rFonts w:hint="default" w:ascii="Times New Roman" w:hAnsi="Times New Roman" w:cs="Times New Roman"/>
                <w:color w:val="auto"/>
                <w:kern w:val="0"/>
                <w:sz w:val="20"/>
                <w:szCs w:val="20"/>
                <w:highlight w:val="none"/>
              </w:rPr>
              <w:t>真爱集团有限公司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D5C2C8">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z w:val="20"/>
                <w:szCs w:val="20"/>
                <w:highlight w:val="none"/>
                <w:lang w:val="en-US" w:eastAsia="zh-CN"/>
              </w:rPr>
              <w:t>9884.5556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1AD5AC">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pacing w:val="6"/>
                <w:sz w:val="20"/>
                <w:szCs w:val="20"/>
                <w:highlight w:val="none"/>
                <w:lang w:val="en-US" w:eastAsia="zh-CN"/>
              </w:rPr>
              <w:t>42</w:t>
            </w:r>
            <w:r>
              <w:rPr>
                <w:rFonts w:hint="default" w:ascii="Times New Roman" w:hAnsi="Times New Roman" w:cs="Times New Roman"/>
                <w:spacing w:val="6"/>
                <w:sz w:val="20"/>
                <w:szCs w:val="20"/>
                <w:highlight w:val="none"/>
                <w:lang w:val="en-US" w:eastAsia="zh-CN"/>
              </w:rPr>
              <w:t>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FB3B61">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eastAsia="宋体" w:cs="Times New Roman"/>
                <w:snapToGrid w:val="0"/>
                <w:color w:val="000000"/>
                <w:spacing w:val="6"/>
                <w:kern w:val="0"/>
                <w:sz w:val="20"/>
                <w:szCs w:val="20"/>
                <w:highlight w:val="none"/>
                <w:lang w:val="en-US" w:eastAsia="zh-CN" w:bidi="ar-SA"/>
              </w:rPr>
              <w:t>42.49</w:t>
            </w:r>
          </w:p>
        </w:tc>
      </w:tr>
      <w:tr w14:paraId="4CF96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B98159">
            <w:pPr>
              <w:pStyle w:val="9"/>
              <w:spacing w:before="53" w:line="260" w:lineRule="auto"/>
              <w:ind w:left="50" w:right="25" w:hanging="13"/>
              <w:jc w:val="center"/>
              <w:rPr>
                <w:rFonts w:hint="default" w:ascii="Times New Roman" w:hAnsi="Times New Roman" w:cs="Times New Roman"/>
                <w:sz w:val="20"/>
                <w:szCs w:val="20"/>
                <w:highlight w:val="none"/>
              </w:rPr>
            </w:pPr>
            <w:r>
              <w:rPr>
                <w:rFonts w:hint="default" w:ascii="Times New Roman" w:hAnsi="Times New Roman" w:cs="Times New Roman"/>
                <w:color w:val="auto"/>
                <w:kern w:val="0"/>
                <w:sz w:val="20"/>
                <w:szCs w:val="20"/>
                <w:highlight w:val="none"/>
              </w:rPr>
              <w:t>华统集团有限公司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C8CEA3">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z w:val="20"/>
                <w:szCs w:val="20"/>
                <w:highlight w:val="none"/>
                <w:lang w:val="en-US" w:eastAsia="zh-CN"/>
              </w:rPr>
              <w:t>9884.5556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724F6C">
            <w:pPr>
              <w:pStyle w:val="9"/>
              <w:keepNext w:val="0"/>
              <w:keepLines w:val="0"/>
              <w:pageBreakBefore w:val="0"/>
              <w:widowControl/>
              <w:kinsoku w:val="0"/>
              <w:wordWrap/>
              <w:overflowPunct/>
              <w:topLinePunct w:val="0"/>
              <w:autoSpaceDE w:val="0"/>
              <w:autoSpaceDN w:val="0"/>
              <w:bidi w:val="0"/>
              <w:adjustRightInd w:val="0"/>
              <w:snapToGrid w:val="0"/>
              <w:spacing w:line="229"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z w:val="20"/>
                <w:szCs w:val="20"/>
                <w:highlight w:val="none"/>
                <w:lang w:val="en-US" w:eastAsia="zh-CN"/>
              </w:rPr>
              <w:t>4700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44C025">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eastAsia="宋体" w:cs="Times New Roman"/>
                <w:snapToGrid w:val="0"/>
                <w:color w:val="000000"/>
                <w:spacing w:val="6"/>
                <w:kern w:val="0"/>
                <w:sz w:val="20"/>
                <w:szCs w:val="20"/>
                <w:highlight w:val="none"/>
                <w:lang w:val="en-US" w:eastAsia="zh-CN" w:bidi="ar-SA"/>
              </w:rPr>
              <w:t>47.55</w:t>
            </w:r>
          </w:p>
        </w:tc>
      </w:tr>
      <w:tr w14:paraId="5C875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27" w:hRule="atLeast"/>
        </w:trPr>
        <w:tc>
          <w:tcPr>
            <w:tcW w:w="1950" w:type="dxa"/>
            <w:tcBorders>
              <w:top w:val="single" w:color="000000" w:sz="2" w:space="0"/>
              <w:left w:val="single" w:color="000000" w:sz="2" w:space="0"/>
              <w:right w:val="single" w:color="000000" w:sz="2" w:space="0"/>
            </w:tcBorders>
            <w:shd w:val="clear" w:color="auto" w:fill="auto"/>
            <w:vAlign w:val="center"/>
          </w:tcPr>
          <w:p w14:paraId="1BA0F6C5">
            <w:pPr>
              <w:pStyle w:val="9"/>
              <w:spacing w:before="54" w:line="262" w:lineRule="auto"/>
              <w:ind w:left="36" w:right="25"/>
              <w:jc w:val="center"/>
              <w:rPr>
                <w:rFonts w:hint="default" w:ascii="Times New Roman" w:hAnsi="Times New Roman" w:eastAsia="宋体" w:cs="Times New Roman"/>
                <w:sz w:val="20"/>
                <w:szCs w:val="20"/>
                <w:highlight w:val="none"/>
                <w:lang w:eastAsia="zh-CN"/>
              </w:rPr>
            </w:pPr>
            <w:r>
              <w:rPr>
                <w:rFonts w:hint="default" w:ascii="Times New Roman" w:hAnsi="Times New Roman" w:cs="Times New Roman"/>
                <w:sz w:val="20"/>
                <w:szCs w:val="20"/>
                <w:highlight w:val="none"/>
                <w:lang w:eastAsia="zh-CN"/>
              </w:rPr>
              <w:t>合计</w:t>
            </w:r>
          </w:p>
        </w:tc>
        <w:tc>
          <w:tcPr>
            <w:tcW w:w="1995" w:type="dxa"/>
            <w:tcBorders>
              <w:top w:val="single" w:color="000000" w:sz="2" w:space="0"/>
              <w:left w:val="single" w:color="000000" w:sz="2" w:space="0"/>
              <w:right w:val="single" w:color="000000" w:sz="2" w:space="0"/>
            </w:tcBorders>
            <w:shd w:val="clear" w:color="auto" w:fill="auto"/>
            <w:vAlign w:val="center"/>
          </w:tcPr>
          <w:p w14:paraId="16EF28CE">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z w:val="20"/>
                <w:szCs w:val="20"/>
                <w:highlight w:val="none"/>
                <w:lang w:val="en-US" w:eastAsia="zh-CN"/>
              </w:rPr>
              <w:t>19769.1112</w:t>
            </w:r>
          </w:p>
        </w:tc>
        <w:tc>
          <w:tcPr>
            <w:tcW w:w="1935" w:type="dxa"/>
            <w:tcBorders>
              <w:top w:val="single" w:color="000000" w:sz="2" w:space="0"/>
              <w:left w:val="single" w:color="000000" w:sz="2" w:space="0"/>
              <w:right w:val="single" w:color="000000" w:sz="2" w:space="0"/>
            </w:tcBorders>
            <w:shd w:val="clear" w:color="auto" w:fill="auto"/>
            <w:vAlign w:val="center"/>
          </w:tcPr>
          <w:p w14:paraId="3183FCD4">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highlight w:val="none"/>
                <w:lang w:val="en-US" w:eastAsia="zh-CN"/>
              </w:rPr>
            </w:pPr>
            <w:r>
              <w:rPr>
                <w:rFonts w:hint="eastAsia" w:ascii="Times New Roman" w:hAnsi="Times New Roman" w:cs="Times New Roman"/>
                <w:sz w:val="20"/>
                <w:szCs w:val="20"/>
                <w:highlight w:val="none"/>
                <w:lang w:val="en-US" w:eastAsia="zh-CN"/>
              </w:rPr>
              <w:t>8900</w:t>
            </w:r>
          </w:p>
        </w:tc>
        <w:tc>
          <w:tcPr>
            <w:tcW w:w="3135" w:type="dxa"/>
            <w:tcBorders>
              <w:top w:val="single" w:color="000000" w:sz="2" w:space="0"/>
              <w:left w:val="single" w:color="000000" w:sz="2" w:space="0"/>
              <w:right w:val="single" w:color="000000" w:sz="2" w:space="0"/>
            </w:tcBorders>
            <w:shd w:val="clear" w:color="auto" w:fill="auto"/>
            <w:vAlign w:val="center"/>
          </w:tcPr>
          <w:p w14:paraId="6FC02EF7">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highlight w:val="none"/>
                <w:lang w:eastAsia="zh-CN"/>
              </w:rPr>
            </w:pPr>
            <w:r>
              <w:rPr>
                <w:rFonts w:hint="default" w:ascii="Times New Roman" w:hAnsi="Times New Roman" w:cs="Times New Roman"/>
                <w:color w:val="auto"/>
                <w:kern w:val="0"/>
                <w:sz w:val="20"/>
                <w:szCs w:val="20"/>
                <w:highlight w:val="none"/>
                <w:lang w:eastAsia="zh-CN"/>
              </w:rPr>
              <w:t>—</w:t>
            </w:r>
          </w:p>
        </w:tc>
      </w:tr>
    </w:tbl>
    <w:p w14:paraId="231063DE">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highlight w:val="none"/>
        </w:rPr>
      </w:pPr>
    </w:p>
    <w:p w14:paraId="78DF78FD">
      <w:pPr>
        <w:pStyle w:val="3"/>
        <w:spacing w:before="254" w:line="299" w:lineRule="auto"/>
        <w:ind w:right="400"/>
        <w:jc w:val="center"/>
        <w:rPr>
          <w:rFonts w:hint="eastAsia" w:ascii="黑体" w:hAnsi="黑体" w:eastAsia="黑体" w:cs="黑体"/>
          <w:highlight w:val="none"/>
          <w:lang w:eastAsia="zh-CN"/>
        </w:rPr>
      </w:pPr>
      <w:r>
        <w:rPr>
          <w:rFonts w:ascii="黑体" w:hAnsi="黑体" w:eastAsia="黑体" w:cs="黑体"/>
          <w:spacing w:val="8"/>
          <w:highlight w:val="none"/>
        </w:rPr>
        <w:t>第</w:t>
      </w:r>
      <w:r>
        <w:rPr>
          <w:rFonts w:hint="eastAsia" w:ascii="黑体" w:hAnsi="黑体" w:eastAsia="黑体" w:cs="黑体"/>
          <w:spacing w:val="8"/>
          <w:highlight w:val="none"/>
          <w:lang w:eastAsia="zh-CN"/>
        </w:rPr>
        <w:t>四</w:t>
      </w:r>
      <w:r>
        <w:rPr>
          <w:rFonts w:ascii="黑体" w:hAnsi="黑体" w:eastAsia="黑体" w:cs="黑体"/>
          <w:spacing w:val="8"/>
          <w:highlight w:val="none"/>
        </w:rPr>
        <w:t>节 关联方交易情况</w:t>
      </w:r>
    </w:p>
    <w:p w14:paraId="6DEE0AC5">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 w:hAnsi="楷体" w:eastAsia="楷体" w:cs="楷体"/>
          <w:b w:val="0"/>
          <w:bCs w:val="0"/>
          <w:spacing w:val="5"/>
          <w:sz w:val="32"/>
          <w:szCs w:val="32"/>
          <w:highlight w:val="none"/>
        </w:rPr>
      </w:pPr>
      <w:r>
        <w:rPr>
          <w:rFonts w:hint="eastAsia" w:ascii="楷体" w:hAnsi="楷体" w:eastAsia="楷体" w:cs="楷体"/>
          <w:b w:val="0"/>
          <w:bCs w:val="0"/>
          <w:spacing w:val="5"/>
          <w:sz w:val="32"/>
          <w:szCs w:val="32"/>
          <w:highlight w:val="none"/>
        </w:rPr>
        <w:t>（一）关联方</w:t>
      </w:r>
    </w:p>
    <w:p w14:paraId="2B7B9FA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行的关联方包括持有本行5%及5%以上股份的股东，本行董事、监事、高级管理人员及与其关系密切的家庭成员（以下简称“关键管理人员及其近亲属”），关键管理人员及其近亲属直接、间接、共同控制或可施加重大影响的法人或其他组织（以下简称“关键管理人员的关联单位”），本行的子公司、联营公司，以及持有本行5%及5%以上股份股东的控股股东及其控股子公司和施加重大影响的企业（以下简称“主要股东的关联法人”），持有本行5%及5%以上股份股东的董事、监事、高级管理人员（以下简称“主要股东的关联自然人”）。</w:t>
      </w:r>
    </w:p>
    <w:p w14:paraId="469EBF6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Times New Roman" w:hAnsi="Times New Roman" w:eastAsia="楷体" w:cs="Times New Roman"/>
          <w:b w:val="0"/>
          <w:bCs w:val="0"/>
          <w:spacing w:val="5"/>
          <w:sz w:val="32"/>
          <w:szCs w:val="32"/>
          <w:highlight w:val="none"/>
        </w:rPr>
      </w:pPr>
      <w:r>
        <w:rPr>
          <w:rFonts w:hint="default" w:ascii="Times New Roman" w:hAnsi="Times New Roman" w:eastAsia="楷体" w:cs="Times New Roman"/>
          <w:b w:val="0"/>
          <w:bCs w:val="0"/>
          <w:spacing w:val="5"/>
          <w:sz w:val="32"/>
          <w:szCs w:val="32"/>
          <w:highlight w:val="none"/>
          <w:lang w:eastAsia="zh-CN"/>
        </w:rPr>
        <w:t>（二）</w:t>
      </w:r>
      <w:r>
        <w:rPr>
          <w:rFonts w:hint="default" w:ascii="Times New Roman" w:hAnsi="Times New Roman" w:eastAsia="楷体" w:cs="Times New Roman"/>
          <w:b w:val="0"/>
          <w:bCs w:val="0"/>
          <w:spacing w:val="5"/>
          <w:sz w:val="32"/>
          <w:szCs w:val="32"/>
          <w:highlight w:val="none"/>
        </w:rPr>
        <w:t>本行持股5%及以上股份的股东情况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55"/>
        <w:gridCol w:w="1440"/>
      </w:tblGrid>
      <w:tr w14:paraId="4BC8B132">
        <w:trPr>
          <w:trHeight w:val="56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450F11F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股东名称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9DDFC76">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3DB9158">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主营业务</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B82598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注册资本 （万元）</w:t>
            </w:r>
          </w:p>
        </w:tc>
        <w:tc>
          <w:tcPr>
            <w:tcW w:w="10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C2740BA">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持股数</w:t>
            </w:r>
          </w:p>
          <w:p w14:paraId="2EFF8635">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（万股）</w:t>
            </w:r>
          </w:p>
        </w:tc>
        <w:tc>
          <w:tcPr>
            <w:tcW w:w="144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0B804DF">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持股比例（%）</w:t>
            </w:r>
          </w:p>
        </w:tc>
      </w:tr>
      <w:tr w14:paraId="2D73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03EAD9">
            <w:pPr>
              <w:keepNext w:val="0"/>
              <w:keepLines w:val="0"/>
              <w:widowControl/>
              <w:suppressLineNumbers w:val="0"/>
              <w:jc w:val="center"/>
              <w:textAlignment w:val="center"/>
              <w:rPr>
                <w:rFonts w:ascii="Arial" w:hAnsi="Arial" w:eastAsia="宋体" w:cs="Arial"/>
                <w:i w:val="0"/>
                <w:iCs w:val="0"/>
                <w:color w:val="000000"/>
                <w:sz w:val="18"/>
                <w:szCs w:val="18"/>
                <w:highlight w:val="none"/>
                <w:u w:val="none"/>
              </w:rPr>
            </w:pPr>
            <w:r>
              <w:rPr>
                <w:rFonts w:hint="default" w:ascii="Arial" w:hAnsi="Arial" w:eastAsia="宋体" w:cs="Arial"/>
                <w:i w:val="0"/>
                <w:iCs w:val="0"/>
                <w:snapToGrid w:val="0"/>
                <w:color w:val="000000"/>
                <w:kern w:val="0"/>
                <w:sz w:val="18"/>
                <w:szCs w:val="18"/>
                <w:highlight w:val="none"/>
                <w:u w:val="none"/>
                <w:lang w:val="en-US" w:eastAsia="zh-CN" w:bidi="ar"/>
              </w:rPr>
              <w:t>金绣集团有限公司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99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1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丝编制品制造与销售、实业投资等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D2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11000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0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CAE41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5.04</w:t>
            </w:r>
          </w:p>
        </w:tc>
      </w:tr>
      <w:tr w14:paraId="54EA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8A07BE">
            <w:pPr>
              <w:keepNext w:val="0"/>
              <w:keepLines w:val="0"/>
              <w:widowControl/>
              <w:suppressLineNumbers w:val="0"/>
              <w:jc w:val="center"/>
              <w:textAlignment w:val="center"/>
              <w:rPr>
                <w:rFonts w:hint="default" w:ascii="Arial" w:hAnsi="Arial" w:eastAsia="宋体" w:cs="Arial"/>
                <w:i w:val="0"/>
                <w:iCs w:val="0"/>
                <w:color w:val="000000"/>
                <w:sz w:val="18"/>
                <w:szCs w:val="18"/>
                <w:highlight w:val="none"/>
                <w:u w:val="none"/>
              </w:rPr>
            </w:pPr>
            <w:r>
              <w:rPr>
                <w:rFonts w:hint="default" w:ascii="Arial" w:hAnsi="Arial" w:eastAsia="宋体" w:cs="Arial"/>
                <w:i w:val="0"/>
                <w:iCs w:val="0"/>
                <w:snapToGrid w:val="0"/>
                <w:color w:val="000000"/>
                <w:kern w:val="0"/>
                <w:sz w:val="18"/>
                <w:szCs w:val="18"/>
                <w:highlight w:val="none"/>
                <w:u w:val="none"/>
                <w:lang w:val="en-US" w:eastAsia="zh-CN" w:bidi="ar"/>
              </w:rPr>
              <w:t>真爱集团有限公司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C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45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纺织品制造与销售、实业投资等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8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53588</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ABB9">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B45A7D">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5.02</w:t>
            </w:r>
          </w:p>
        </w:tc>
      </w:tr>
      <w:tr w14:paraId="6FA5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EEA800">
            <w:pPr>
              <w:keepNext w:val="0"/>
              <w:keepLines w:val="0"/>
              <w:widowControl/>
              <w:suppressLineNumbers w:val="0"/>
              <w:jc w:val="center"/>
              <w:textAlignment w:val="center"/>
              <w:rPr>
                <w:rFonts w:hint="default" w:ascii="Arial" w:hAnsi="Arial" w:eastAsia="宋体" w:cs="Arial"/>
                <w:i w:val="0"/>
                <w:iCs w:val="0"/>
                <w:color w:val="000000"/>
                <w:sz w:val="18"/>
                <w:szCs w:val="18"/>
                <w:highlight w:val="none"/>
                <w:u w:val="none"/>
              </w:rPr>
            </w:pPr>
            <w:r>
              <w:rPr>
                <w:rFonts w:hint="default" w:ascii="Arial" w:hAnsi="Arial" w:eastAsia="宋体" w:cs="Arial"/>
                <w:i w:val="0"/>
                <w:iCs w:val="0"/>
                <w:snapToGrid w:val="0"/>
                <w:color w:val="000000"/>
                <w:kern w:val="0"/>
                <w:sz w:val="18"/>
                <w:szCs w:val="18"/>
                <w:highlight w:val="none"/>
                <w:u w:val="none"/>
                <w:lang w:val="en-US" w:eastAsia="zh-CN" w:bidi="ar"/>
              </w:rPr>
              <w:t>华统集团有限公司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54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2D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实业投资、企业总部管理等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8E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50097.5</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43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745E6">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5.01</w:t>
            </w:r>
          </w:p>
        </w:tc>
      </w:tr>
      <w:tr w14:paraId="75A82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0D9257">
            <w:pPr>
              <w:keepNext w:val="0"/>
              <w:keepLines w:val="0"/>
              <w:widowControl/>
              <w:suppressLineNumbers w:val="0"/>
              <w:jc w:val="center"/>
              <w:textAlignment w:val="center"/>
              <w:rPr>
                <w:rFonts w:hint="eastAsia" w:eastAsia="宋体" w:cs="Arial"/>
                <w:i w:val="0"/>
                <w:iCs w:val="0"/>
                <w:snapToGrid w:val="0"/>
                <w:color w:val="auto"/>
                <w:kern w:val="0"/>
                <w:sz w:val="18"/>
                <w:szCs w:val="18"/>
                <w:highlight w:val="none"/>
                <w:u w:val="none"/>
                <w:lang w:val="en-US" w:eastAsia="zh-CN" w:bidi="ar"/>
              </w:rPr>
            </w:pPr>
            <w:r>
              <w:rPr>
                <w:rFonts w:hint="default" w:ascii="Arial" w:hAnsi="Arial" w:eastAsia="宋体" w:cs="Arial"/>
                <w:i w:val="0"/>
                <w:iCs w:val="0"/>
                <w:snapToGrid w:val="0"/>
                <w:color w:val="auto"/>
                <w:kern w:val="0"/>
                <w:sz w:val="18"/>
                <w:szCs w:val="18"/>
                <w:highlight w:val="none"/>
                <w:u w:val="none"/>
                <w:lang w:val="en-US" w:eastAsia="zh-CN" w:bidi="ar"/>
              </w:rPr>
              <w:t>浙江省财开</w:t>
            </w:r>
            <w:r>
              <w:rPr>
                <w:rFonts w:hint="eastAsia" w:eastAsia="宋体" w:cs="Arial"/>
                <w:i w:val="0"/>
                <w:iCs w:val="0"/>
                <w:snapToGrid w:val="0"/>
                <w:color w:val="auto"/>
                <w:kern w:val="0"/>
                <w:sz w:val="18"/>
                <w:szCs w:val="18"/>
                <w:highlight w:val="none"/>
                <w:u w:val="none"/>
                <w:lang w:val="en-US" w:eastAsia="zh-CN" w:bidi="ar"/>
              </w:rPr>
              <w:t>集团</w:t>
            </w:r>
          </w:p>
          <w:p w14:paraId="470CE037">
            <w:pPr>
              <w:keepNext w:val="0"/>
              <w:keepLines w:val="0"/>
              <w:widowControl/>
              <w:suppressLineNumbers w:val="0"/>
              <w:jc w:val="center"/>
              <w:textAlignment w:val="center"/>
              <w:rPr>
                <w:rFonts w:hint="default" w:ascii="Arial" w:hAnsi="Arial" w:eastAsia="宋体" w:cs="Arial"/>
                <w:i w:val="0"/>
                <w:iCs w:val="0"/>
                <w:color w:val="000000"/>
                <w:sz w:val="18"/>
                <w:szCs w:val="18"/>
                <w:highlight w:val="none"/>
                <w:u w:val="none"/>
              </w:rPr>
            </w:pPr>
            <w:r>
              <w:rPr>
                <w:rFonts w:hint="default" w:ascii="Arial" w:hAnsi="Arial" w:eastAsia="宋体" w:cs="Arial"/>
                <w:i w:val="0"/>
                <w:iCs w:val="0"/>
                <w:snapToGrid w:val="0"/>
                <w:color w:val="auto"/>
                <w:kern w:val="0"/>
                <w:sz w:val="18"/>
                <w:szCs w:val="18"/>
                <w:highlight w:val="none"/>
                <w:u w:val="none"/>
                <w:lang w:val="en-US" w:eastAsia="zh-CN" w:bidi="ar"/>
              </w:rPr>
              <w:t>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7C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浙江杭州</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B4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管理运营政策性、功能性、财政性资产</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AF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500000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45C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8802A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w:t>
            </w:r>
          </w:p>
        </w:tc>
      </w:tr>
      <w:tr w14:paraId="0E01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FDD57E1">
            <w:pPr>
              <w:keepNext w:val="0"/>
              <w:keepLines w:val="0"/>
              <w:widowControl/>
              <w:suppressLineNumbers w:val="0"/>
              <w:jc w:val="center"/>
              <w:textAlignment w:val="center"/>
              <w:rPr>
                <w:rFonts w:hint="default" w:ascii="Arial" w:hAnsi="Arial" w:eastAsia="宋体" w:cs="Arial"/>
                <w:i w:val="0"/>
                <w:iCs w:val="0"/>
                <w:color w:val="000000"/>
                <w:sz w:val="18"/>
                <w:szCs w:val="18"/>
                <w:highlight w:val="none"/>
                <w:u w:val="none"/>
              </w:rPr>
            </w:pPr>
            <w:r>
              <w:rPr>
                <w:rFonts w:hint="default" w:ascii="Arial" w:hAnsi="Arial" w:eastAsia="宋体" w:cs="Arial"/>
                <w:i w:val="0"/>
                <w:iCs w:val="0"/>
                <w:snapToGrid w:val="0"/>
                <w:color w:val="000000"/>
                <w:kern w:val="0"/>
                <w:sz w:val="18"/>
                <w:szCs w:val="18"/>
                <w:highlight w:val="none"/>
                <w:u w:val="none"/>
                <w:lang w:val="en-US" w:eastAsia="zh-CN" w:bidi="ar"/>
              </w:rPr>
              <w:t>义乌市国有资本运营有限公司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A0A63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浙江义乌</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920D3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国有资本经营和国有股权管理</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2DB94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snapToGrid w:val="0"/>
                <w:color w:val="000000"/>
                <w:kern w:val="0"/>
                <w:sz w:val="20"/>
                <w:szCs w:val="20"/>
                <w:highlight w:val="none"/>
                <w:u w:val="none"/>
                <w:lang w:val="en-US" w:eastAsia="zh-CN" w:bidi="ar"/>
              </w:rPr>
              <w:t>198000</w:t>
            </w:r>
          </w:p>
        </w:tc>
        <w:tc>
          <w:tcPr>
            <w:tcW w:w="10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AB9D732">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9413.86</w:t>
            </w:r>
          </w:p>
        </w:tc>
        <w:tc>
          <w:tcPr>
            <w:tcW w:w="144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530E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5</w:t>
            </w:r>
          </w:p>
        </w:tc>
      </w:tr>
    </w:tbl>
    <w:p w14:paraId="67C954CB">
      <w:pPr>
        <w:spacing w:line="14" w:lineRule="exact"/>
        <w:rPr>
          <w:highlight w:val="none"/>
        </w:rPr>
      </w:pPr>
    </w:p>
    <w:p w14:paraId="02E987A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Times New Roman" w:hAnsi="Times New Roman" w:eastAsia="楷体" w:cs="Times New Roman"/>
          <w:b w:val="0"/>
          <w:bCs w:val="0"/>
          <w:spacing w:val="5"/>
          <w:sz w:val="32"/>
          <w:szCs w:val="32"/>
          <w:highlight w:val="none"/>
        </w:rPr>
      </w:pPr>
      <w:r>
        <w:rPr>
          <w:rFonts w:hint="eastAsia" w:ascii="Times New Roman" w:hAnsi="Times New Roman" w:eastAsia="楷体" w:cs="Times New Roman"/>
          <w:b w:val="0"/>
          <w:bCs w:val="0"/>
          <w:spacing w:val="5"/>
          <w:sz w:val="32"/>
          <w:szCs w:val="32"/>
          <w:highlight w:val="none"/>
          <w:lang w:eastAsia="zh-CN"/>
        </w:rPr>
        <w:t>（三）</w:t>
      </w:r>
      <w:r>
        <w:rPr>
          <w:rFonts w:hint="eastAsia" w:ascii="Times New Roman" w:hAnsi="Times New Roman" w:eastAsia="楷体" w:cs="Times New Roman"/>
          <w:b w:val="0"/>
          <w:bCs w:val="0"/>
          <w:spacing w:val="5"/>
          <w:sz w:val="32"/>
          <w:szCs w:val="32"/>
          <w:highlight w:val="none"/>
        </w:rPr>
        <w:t>本行的子公司情况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35"/>
        <w:gridCol w:w="1460"/>
      </w:tblGrid>
      <w:tr w14:paraId="20E87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0744192A">
            <w:pPr>
              <w:keepNext w:val="0"/>
              <w:keepLines w:val="0"/>
              <w:widowControl/>
              <w:suppressLineNumbers w:val="0"/>
              <w:jc w:val="center"/>
              <w:textAlignment w:val="center"/>
              <w:rPr>
                <w:rFonts w:hint="eastAsia" w:ascii="宋体" w:hAnsi="宋体" w:eastAsia="宋体" w:cs="宋体"/>
                <w:i w:val="0"/>
                <w:iCs w:val="0"/>
                <w:color w:val="FFFFFF"/>
                <w:sz w:val="20"/>
                <w:szCs w:val="20"/>
                <w:highlight w:val="none"/>
                <w:u w:val="none"/>
              </w:rPr>
            </w:pPr>
            <w:r>
              <w:rPr>
                <w:rFonts w:hint="eastAsia" w:ascii="宋体" w:hAnsi="宋体" w:eastAsia="宋体" w:cs="宋体"/>
                <w:snapToGrid w:val="0"/>
                <w:color w:val="FFFFFF"/>
                <w:spacing w:val="7"/>
                <w:kern w:val="0"/>
                <w:sz w:val="20"/>
                <w:szCs w:val="20"/>
                <w:highlight w:val="none"/>
                <w:lang w:val="en-US" w:eastAsia="zh-CN" w:bidi="ar-SA"/>
              </w:rPr>
              <w:t>企业名称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907310F">
            <w:pPr>
              <w:keepNext w:val="0"/>
              <w:keepLines w:val="0"/>
              <w:widowControl/>
              <w:suppressLineNumbers w:val="0"/>
              <w:jc w:val="center"/>
              <w:textAlignment w:val="center"/>
              <w:rPr>
                <w:rFonts w:hint="eastAsia" w:ascii="宋体" w:hAnsi="宋体" w:eastAsia="宋体" w:cs="宋体"/>
                <w:i w:val="0"/>
                <w:iCs w:val="0"/>
                <w:color w:val="FFFFFF"/>
                <w:sz w:val="20"/>
                <w:szCs w:val="20"/>
                <w:highlight w:val="none"/>
                <w:u w:val="none"/>
              </w:rPr>
            </w:pPr>
            <w:r>
              <w:rPr>
                <w:rFonts w:hint="eastAsia" w:ascii="宋体" w:hAnsi="宋体" w:eastAsia="宋体" w:cs="宋体"/>
                <w:snapToGrid w:val="0"/>
                <w:color w:val="FFFFFF"/>
                <w:spacing w:val="7"/>
                <w:kern w:val="0"/>
                <w:sz w:val="20"/>
                <w:szCs w:val="20"/>
                <w:highlight w:val="none"/>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EF179F5">
            <w:pPr>
              <w:keepNext w:val="0"/>
              <w:keepLines w:val="0"/>
              <w:widowControl/>
              <w:suppressLineNumbers w:val="0"/>
              <w:jc w:val="center"/>
              <w:textAlignment w:val="center"/>
              <w:rPr>
                <w:rFonts w:hint="eastAsia" w:ascii="宋体" w:hAnsi="宋体" w:eastAsia="宋体" w:cs="宋体"/>
                <w:i w:val="0"/>
                <w:iCs w:val="0"/>
                <w:color w:val="FFFFFF"/>
                <w:sz w:val="20"/>
                <w:szCs w:val="20"/>
                <w:highlight w:val="none"/>
                <w:u w:val="none"/>
              </w:rPr>
            </w:pPr>
            <w:r>
              <w:rPr>
                <w:rFonts w:hint="eastAsia" w:ascii="宋体" w:hAnsi="宋体" w:eastAsia="宋体" w:cs="宋体"/>
                <w:snapToGrid w:val="0"/>
                <w:color w:val="FFFFFF"/>
                <w:spacing w:val="7"/>
                <w:kern w:val="0"/>
                <w:sz w:val="20"/>
                <w:szCs w:val="20"/>
                <w:highlight w:val="none"/>
                <w:lang w:val="en-US" w:eastAsia="zh-CN" w:bidi="ar-SA"/>
              </w:rPr>
              <w:t>业务性质</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4224E3C">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注册资本（万元）</w:t>
            </w:r>
          </w:p>
        </w:tc>
        <w:tc>
          <w:tcPr>
            <w:tcW w:w="103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90523C0">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持股比例（%）</w:t>
            </w:r>
          </w:p>
        </w:tc>
        <w:tc>
          <w:tcPr>
            <w:tcW w:w="146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2C642EA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投资额</w:t>
            </w:r>
          </w:p>
          <w:p w14:paraId="1378E3F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（万元）</w:t>
            </w:r>
          </w:p>
        </w:tc>
      </w:tr>
      <w:tr w14:paraId="19D8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0664F63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浙江龙游义商村 镇银行有限公司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1CF32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浙江龙游</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2EFBE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金融业</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B5526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snapToGrid w:val="0"/>
                <w:color w:val="000000"/>
                <w:kern w:val="0"/>
                <w:sz w:val="20"/>
                <w:szCs w:val="20"/>
                <w:highlight w:val="none"/>
                <w:u w:val="none"/>
                <w:lang w:val="en-US" w:eastAsia="zh-CN" w:bidi="ar"/>
              </w:rPr>
              <w:t>11000</w:t>
            </w:r>
          </w:p>
        </w:tc>
        <w:tc>
          <w:tcPr>
            <w:tcW w:w="10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606B3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8</w:t>
            </w:r>
            <w:r>
              <w:rPr>
                <w:rFonts w:hint="eastAsia" w:ascii="Times New Roman" w:hAnsi="Times New Roman" w:eastAsia="宋体" w:cs="Times New Roman"/>
                <w:i w:val="0"/>
                <w:iCs w:val="0"/>
                <w:snapToGrid w:val="0"/>
                <w:color w:val="auto"/>
                <w:kern w:val="0"/>
                <w:sz w:val="20"/>
                <w:szCs w:val="20"/>
                <w:highlight w:val="none"/>
                <w:u w:val="none"/>
                <w:lang w:val="en-US" w:eastAsia="zh-CN" w:bidi="ar"/>
              </w:rPr>
              <w:t>7</w:t>
            </w:r>
            <w:r>
              <w:rPr>
                <w:rFonts w:hint="default" w:ascii="Times New Roman" w:hAnsi="Times New Roman" w:eastAsia="宋体" w:cs="Times New Roman"/>
                <w:i w:val="0"/>
                <w:iCs w:val="0"/>
                <w:snapToGrid w:val="0"/>
                <w:color w:val="auto"/>
                <w:kern w:val="0"/>
                <w:sz w:val="20"/>
                <w:szCs w:val="20"/>
                <w:highlight w:val="none"/>
                <w:u w:val="none"/>
                <w:lang w:val="en-US" w:eastAsia="zh-CN" w:bidi="ar"/>
              </w:rPr>
              <w:t>%</w:t>
            </w:r>
          </w:p>
        </w:tc>
        <w:tc>
          <w:tcPr>
            <w:tcW w:w="146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2019FF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12519.14</w:t>
            </w:r>
          </w:p>
        </w:tc>
      </w:tr>
    </w:tbl>
    <w:p w14:paraId="72EA5DF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52" w:firstLineChars="200"/>
        <w:textAlignment w:val="baseline"/>
        <w:rPr>
          <w:rFonts w:hint="default" w:ascii="楷体_GB2312" w:hAnsi="楷体_GB2312" w:eastAsia="楷体_GB2312" w:cs="楷体_GB2312"/>
          <w:b w:val="0"/>
          <w:bCs w:val="0"/>
          <w:spacing w:val="3"/>
          <w:sz w:val="32"/>
          <w:szCs w:val="32"/>
          <w:highlight w:val="none"/>
        </w:rPr>
      </w:pPr>
      <w:r>
        <w:rPr>
          <w:rFonts w:hint="default" w:ascii="楷体_GB2312" w:hAnsi="楷体_GB2312" w:eastAsia="楷体_GB2312" w:cs="楷体_GB2312"/>
          <w:b w:val="0"/>
          <w:bCs w:val="0"/>
          <w:spacing w:val="3"/>
          <w:sz w:val="32"/>
          <w:szCs w:val="32"/>
          <w:highlight w:val="none"/>
          <w:lang w:eastAsia="zh-CN"/>
        </w:rPr>
        <w:t>（</w:t>
      </w:r>
      <w:r>
        <w:rPr>
          <w:rFonts w:hint="default" w:ascii="楷体_GB2312" w:hAnsi="楷体_GB2312" w:eastAsia="楷体_GB2312" w:cs="楷体_GB2312"/>
          <w:b w:val="0"/>
          <w:bCs w:val="0"/>
          <w:spacing w:val="3"/>
          <w:sz w:val="32"/>
          <w:szCs w:val="32"/>
          <w:highlight w:val="none"/>
        </w:rPr>
        <w:t>四</w:t>
      </w:r>
      <w:r>
        <w:rPr>
          <w:rFonts w:hint="default" w:ascii="楷体_GB2312" w:hAnsi="楷体_GB2312" w:eastAsia="楷体_GB2312" w:cs="楷体_GB2312"/>
          <w:b w:val="0"/>
          <w:bCs w:val="0"/>
          <w:spacing w:val="3"/>
          <w:sz w:val="32"/>
          <w:szCs w:val="32"/>
          <w:highlight w:val="none"/>
          <w:lang w:eastAsia="zh-CN"/>
        </w:rPr>
        <w:t>）</w:t>
      </w:r>
      <w:r>
        <w:rPr>
          <w:rFonts w:hint="default" w:ascii="楷体_GB2312" w:hAnsi="楷体_GB2312" w:eastAsia="楷体_GB2312" w:cs="楷体_GB2312"/>
          <w:b w:val="0"/>
          <w:bCs w:val="0"/>
          <w:spacing w:val="3"/>
          <w:sz w:val="32"/>
          <w:szCs w:val="32"/>
          <w:highlight w:val="none"/>
        </w:rPr>
        <w:t>关联交易情况</w:t>
      </w:r>
    </w:p>
    <w:p w14:paraId="2B7B191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本行的关联交易遵守法律、行政法规、国家统一的会计制度和有关的银行业监督管理规定，按照商业原则，以不优于对非关联方同类交易的条件进行。</w:t>
      </w:r>
    </w:p>
    <w:p w14:paraId="0F9B12F0">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eastAsia="楷体"/>
          <w:highlight w:val="none"/>
          <w:lang w:eastAsia="zh-CN"/>
        </w:rPr>
      </w:pPr>
      <w:r>
        <w:rPr>
          <w:rFonts w:hint="eastAsia" w:ascii="楷体_GB2312" w:hAnsi="楷体_GB2312" w:eastAsia="楷体_GB2312" w:cs="楷体_GB2312"/>
          <w:b w:val="0"/>
          <w:bCs w:val="0"/>
          <w:sz w:val="32"/>
          <w:szCs w:val="32"/>
          <w:highlight w:val="none"/>
          <w:lang w:eastAsia="zh-CN"/>
        </w:rPr>
        <w:t>报告期末</w:t>
      </w:r>
      <w:r>
        <w:rPr>
          <w:rFonts w:hint="eastAsia" w:ascii="楷体_GB2312" w:hAnsi="楷体_GB2312" w:eastAsia="楷体_GB2312" w:cs="楷体_GB2312"/>
          <w:b w:val="0"/>
          <w:bCs w:val="0"/>
          <w:sz w:val="32"/>
          <w:szCs w:val="32"/>
          <w:highlight w:val="none"/>
        </w:rPr>
        <w:t>贷款</w:t>
      </w:r>
      <w:r>
        <w:rPr>
          <w:rFonts w:hint="eastAsia" w:ascii="楷体_GB2312" w:hAnsi="楷体_GB2312" w:eastAsia="楷体_GB2312" w:cs="楷体_GB2312"/>
          <w:b w:val="0"/>
          <w:bCs w:val="0"/>
          <w:sz w:val="32"/>
          <w:szCs w:val="32"/>
          <w:highlight w:val="none"/>
          <w:lang w:eastAsia="zh-CN"/>
        </w:rPr>
        <w:t>余额</w:t>
      </w:r>
    </w:p>
    <w:tbl>
      <w:tblPr>
        <w:tblStyle w:val="6"/>
        <w:tblW w:w="8540" w:type="dxa"/>
        <w:tblInd w:w="93" w:type="dxa"/>
        <w:tblLayout w:type="fixed"/>
        <w:tblCellMar>
          <w:top w:w="0" w:type="dxa"/>
          <w:left w:w="108" w:type="dxa"/>
          <w:bottom w:w="0" w:type="dxa"/>
          <w:right w:w="108" w:type="dxa"/>
        </w:tblCellMar>
      </w:tblPr>
      <w:tblGrid>
        <w:gridCol w:w="4055"/>
        <w:gridCol w:w="2277"/>
        <w:gridCol w:w="2208"/>
      </w:tblGrid>
      <w:tr w14:paraId="4E126B83">
        <w:tblPrEx>
          <w:tblCellMar>
            <w:top w:w="0" w:type="dxa"/>
            <w:left w:w="108" w:type="dxa"/>
            <w:bottom w:w="0" w:type="dxa"/>
            <w:right w:w="108" w:type="dxa"/>
          </w:tblCellMar>
        </w:tblPrEx>
        <w:trPr>
          <w:trHeight w:val="420" w:hRule="atLeast"/>
        </w:trPr>
        <w:tc>
          <w:tcPr>
            <w:tcW w:w="4055" w:type="dxa"/>
            <w:tcBorders>
              <w:top w:val="single" w:color="000000" w:sz="8" w:space="0"/>
              <w:left w:val="nil"/>
              <w:bottom w:val="single" w:color="000000" w:sz="4" w:space="0"/>
              <w:right w:val="single" w:color="000000" w:sz="4" w:space="0"/>
            </w:tcBorders>
            <w:shd w:val="clear" w:color="auto" w:fill="0070C0"/>
            <w:vAlign w:val="center"/>
          </w:tcPr>
          <w:p w14:paraId="633A2021">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项目</w:t>
            </w:r>
          </w:p>
        </w:tc>
        <w:tc>
          <w:tcPr>
            <w:tcW w:w="227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0066641A">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2026年三季度末余额</w:t>
            </w:r>
          </w:p>
          <w:p w14:paraId="3A05D25E">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（万元）</w:t>
            </w:r>
          </w:p>
        </w:tc>
        <w:tc>
          <w:tcPr>
            <w:tcW w:w="2208" w:type="dxa"/>
            <w:tcBorders>
              <w:top w:val="single" w:color="000000" w:sz="8" w:space="0"/>
              <w:left w:val="single" w:color="000000" w:sz="4" w:space="0"/>
              <w:bottom w:val="single" w:color="000000" w:sz="4" w:space="0"/>
              <w:right w:val="nil"/>
            </w:tcBorders>
            <w:shd w:val="clear" w:color="auto" w:fill="0070C0"/>
            <w:vAlign w:val="center"/>
          </w:tcPr>
          <w:p w14:paraId="1A927D5A">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上季度末余额</w:t>
            </w:r>
          </w:p>
          <w:p w14:paraId="6F1B57A7">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highlight w:val="none"/>
                <w:lang w:val="en-US" w:eastAsia="zh-CN" w:bidi="ar-SA"/>
              </w:rPr>
            </w:pPr>
            <w:r>
              <w:rPr>
                <w:rFonts w:hint="eastAsia" w:ascii="宋体" w:hAnsi="宋体" w:eastAsia="宋体" w:cs="宋体"/>
                <w:snapToGrid w:val="0"/>
                <w:color w:val="FFFFFF"/>
                <w:spacing w:val="7"/>
                <w:kern w:val="0"/>
                <w:sz w:val="20"/>
                <w:szCs w:val="20"/>
                <w:highlight w:val="none"/>
                <w:lang w:val="en-US" w:eastAsia="zh-CN" w:bidi="ar-SA"/>
              </w:rPr>
              <w:t>（万元）</w:t>
            </w:r>
          </w:p>
        </w:tc>
      </w:tr>
      <w:tr w14:paraId="696C4A07">
        <w:tblPrEx>
          <w:tblCellMar>
            <w:top w:w="0" w:type="dxa"/>
            <w:left w:w="108" w:type="dxa"/>
            <w:bottom w:w="0" w:type="dxa"/>
            <w:right w:w="108" w:type="dxa"/>
          </w:tblCellMar>
        </w:tblPrEx>
        <w:trPr>
          <w:trHeight w:val="49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471BB5FC">
            <w:pPr>
              <w:textAlignment w:val="center"/>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持有或控制银行机构</w:t>
            </w:r>
            <w:r>
              <w:rPr>
                <w:rFonts w:ascii="Times New Roman" w:hAnsi="Times New Roman" w:eastAsia="宋体" w:cs="Times New Roman"/>
                <w:sz w:val="20"/>
                <w:szCs w:val="20"/>
                <w:highlight w:val="none"/>
                <w:lang w:eastAsia="zh-CN"/>
              </w:rPr>
              <w:t>5%</w:t>
            </w:r>
            <w:r>
              <w:rPr>
                <w:rFonts w:hint="eastAsia" w:ascii="宋体" w:hAnsi="宋体" w:eastAsia="宋体" w:cs="宋体"/>
                <w:sz w:val="20"/>
                <w:szCs w:val="20"/>
                <w:highlight w:val="none"/>
                <w:lang w:eastAsia="zh-CN"/>
              </w:rPr>
              <w:t>及以上股权的股东</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84DE">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19581.62</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1B93A106">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19500.00</w:t>
            </w:r>
          </w:p>
        </w:tc>
      </w:tr>
      <w:tr w14:paraId="60768265">
        <w:tblPrEx>
          <w:tblCellMar>
            <w:top w:w="0" w:type="dxa"/>
            <w:left w:w="108" w:type="dxa"/>
            <w:bottom w:w="0" w:type="dxa"/>
            <w:right w:w="108" w:type="dxa"/>
          </w:tblCellMar>
        </w:tblPrEx>
        <w:trPr>
          <w:trHeight w:val="480"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4DDCBBC1">
            <w:pPr>
              <w:textAlignment w:val="center"/>
              <w:rPr>
                <w:rFonts w:ascii="宋体" w:hAnsi="宋体" w:eastAsia="宋体" w:cs="宋体"/>
                <w:sz w:val="20"/>
                <w:szCs w:val="20"/>
                <w:highlight w:val="none"/>
              </w:rPr>
            </w:pPr>
            <w:r>
              <w:rPr>
                <w:rFonts w:hint="eastAsia" w:ascii="宋体" w:hAnsi="宋体" w:eastAsia="宋体" w:cs="宋体"/>
                <w:sz w:val="20"/>
                <w:szCs w:val="20"/>
                <w:highlight w:val="none"/>
                <w:lang w:eastAsia="zh-CN"/>
              </w:rPr>
              <w:t>主要股东的关联法人</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C408">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356404.75</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59CD2B49">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363304.72</w:t>
            </w:r>
          </w:p>
        </w:tc>
      </w:tr>
      <w:tr w14:paraId="1B893735">
        <w:tblPrEx>
          <w:tblCellMar>
            <w:top w:w="0" w:type="dxa"/>
            <w:left w:w="108" w:type="dxa"/>
            <w:bottom w:w="0" w:type="dxa"/>
            <w:right w:w="108" w:type="dxa"/>
          </w:tblCellMar>
        </w:tblPrEx>
        <w:trPr>
          <w:trHeight w:val="45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7880BBC9">
            <w:pPr>
              <w:textAlignment w:val="center"/>
              <w:rPr>
                <w:rFonts w:hint="default" w:ascii="宋体" w:hAnsi="宋体" w:eastAsia="宋体" w:cs="宋体"/>
                <w:sz w:val="20"/>
                <w:szCs w:val="20"/>
                <w:highlight w:val="none"/>
                <w:lang w:val="en-US"/>
              </w:rPr>
            </w:pPr>
            <w:r>
              <w:rPr>
                <w:rFonts w:hint="eastAsia" w:ascii="宋体" w:hAnsi="宋体" w:eastAsia="宋体" w:cs="宋体"/>
                <w:sz w:val="20"/>
                <w:szCs w:val="20"/>
                <w:highlight w:val="none"/>
                <w:lang w:val="en-US" w:eastAsia="zh-CN"/>
              </w:rPr>
              <w:t>董监高等</w:t>
            </w:r>
            <w:r>
              <w:rPr>
                <w:rFonts w:hint="eastAsia" w:ascii="宋体" w:hAnsi="宋体" w:eastAsia="宋体" w:cs="宋体"/>
                <w:sz w:val="20"/>
                <w:szCs w:val="20"/>
                <w:highlight w:val="none"/>
                <w:lang w:eastAsia="zh-CN"/>
              </w:rPr>
              <w:t>关键管理人员及其</w:t>
            </w:r>
            <w:r>
              <w:rPr>
                <w:rFonts w:hint="eastAsia" w:ascii="宋体" w:hAnsi="宋体" w:eastAsia="宋体" w:cs="宋体"/>
                <w:sz w:val="20"/>
                <w:szCs w:val="20"/>
                <w:highlight w:val="none"/>
                <w:lang w:val="en-US" w:eastAsia="zh-CN"/>
              </w:rPr>
              <w:t>关联方</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718B">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17202.62</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55DA5842">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15604.00</w:t>
            </w:r>
          </w:p>
        </w:tc>
      </w:tr>
      <w:tr w14:paraId="50DD5D2B">
        <w:tblPrEx>
          <w:tblCellMar>
            <w:top w:w="0" w:type="dxa"/>
            <w:left w:w="108" w:type="dxa"/>
            <w:bottom w:w="0" w:type="dxa"/>
            <w:right w:w="108" w:type="dxa"/>
          </w:tblCellMar>
        </w:tblPrEx>
        <w:trPr>
          <w:trHeight w:val="28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5450870C">
            <w:pPr>
              <w:textAlignment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eastAsia="zh-CN"/>
              </w:rPr>
              <w:t>大额授信或资产转移核心业务审批或决策人员</w:t>
            </w:r>
            <w:r>
              <w:rPr>
                <w:rFonts w:hint="eastAsia" w:ascii="宋体" w:hAnsi="宋体" w:eastAsia="宋体" w:cs="宋体"/>
                <w:sz w:val="20"/>
                <w:szCs w:val="20"/>
                <w:highlight w:val="none"/>
                <w:lang w:val="en-US" w:eastAsia="zh-CN"/>
              </w:rPr>
              <w:t>及其关联方</w:t>
            </w:r>
            <w:r>
              <w:rPr>
                <w:rFonts w:hint="eastAsia" w:ascii="宋体" w:hAnsi="宋体" w:eastAsia="宋体" w:cs="宋体"/>
                <w:sz w:val="20"/>
                <w:szCs w:val="20"/>
                <w:highlight w:val="none"/>
                <w:lang w:eastAsia="zh-CN"/>
              </w:rPr>
              <w:t>的贷款，</w:t>
            </w:r>
            <w:r>
              <w:rPr>
                <w:rFonts w:hint="eastAsia" w:ascii="宋体" w:hAnsi="宋体" w:eastAsia="宋体" w:cs="宋体"/>
                <w:sz w:val="20"/>
                <w:szCs w:val="20"/>
                <w:highlight w:val="none"/>
                <w:lang w:val="en-US" w:eastAsia="zh-CN"/>
              </w:rPr>
              <w:t>信用卡</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FE56">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13610.16</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67D05712">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13074.47</w:t>
            </w:r>
          </w:p>
        </w:tc>
      </w:tr>
      <w:tr w14:paraId="42E51E0E">
        <w:tblPrEx>
          <w:tblCellMar>
            <w:top w:w="0" w:type="dxa"/>
            <w:left w:w="108" w:type="dxa"/>
            <w:bottom w:w="0" w:type="dxa"/>
            <w:right w:w="108" w:type="dxa"/>
          </w:tblCellMar>
        </w:tblPrEx>
        <w:trPr>
          <w:trHeight w:val="460" w:hRule="atLeast"/>
        </w:trPr>
        <w:tc>
          <w:tcPr>
            <w:tcW w:w="4055" w:type="dxa"/>
            <w:tcBorders>
              <w:top w:val="single" w:color="000000" w:sz="4" w:space="0"/>
              <w:left w:val="nil"/>
              <w:bottom w:val="single" w:color="000000" w:sz="8" w:space="0"/>
              <w:right w:val="single" w:color="000000" w:sz="4" w:space="0"/>
            </w:tcBorders>
            <w:shd w:val="clear" w:color="auto" w:fill="auto"/>
            <w:vAlign w:val="center"/>
          </w:tcPr>
          <w:p w14:paraId="067F0CCC">
            <w:pPr>
              <w:textAlignment w:val="center"/>
              <w:rPr>
                <w:rFonts w:ascii="宋体" w:hAnsi="宋体" w:eastAsia="宋体" w:cs="宋体"/>
                <w:sz w:val="20"/>
                <w:szCs w:val="20"/>
                <w:highlight w:val="none"/>
              </w:rPr>
            </w:pPr>
            <w:r>
              <w:rPr>
                <w:rFonts w:hint="eastAsia" w:ascii="宋体" w:hAnsi="宋体" w:eastAsia="宋体" w:cs="宋体"/>
                <w:sz w:val="20"/>
                <w:szCs w:val="20"/>
                <w:highlight w:val="none"/>
                <w:lang w:eastAsia="zh-CN"/>
              </w:rPr>
              <w:t>合计</w:t>
            </w:r>
          </w:p>
        </w:tc>
        <w:tc>
          <w:tcPr>
            <w:tcW w:w="227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05CD946">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406799.15</w:t>
            </w:r>
          </w:p>
        </w:tc>
        <w:tc>
          <w:tcPr>
            <w:tcW w:w="2208" w:type="dxa"/>
            <w:tcBorders>
              <w:top w:val="single" w:color="000000" w:sz="4" w:space="0"/>
              <w:left w:val="single" w:color="000000" w:sz="4" w:space="0"/>
              <w:bottom w:val="single" w:color="000000" w:sz="8" w:space="0"/>
              <w:right w:val="nil"/>
            </w:tcBorders>
            <w:shd w:val="clear" w:color="auto" w:fill="auto"/>
            <w:noWrap/>
            <w:vAlign w:val="center"/>
          </w:tcPr>
          <w:p w14:paraId="2D92ABEA">
            <w:pPr>
              <w:rPr>
                <w:rFonts w:hint="default" w:ascii="宋体" w:hAnsi="宋体" w:eastAsia="宋体" w:cs="宋体"/>
                <w:sz w:val="24"/>
                <w:szCs w:val="24"/>
                <w:highlight w:val="none"/>
                <w:lang w:val="en-US" w:eastAsia="zh-CN"/>
              </w:rPr>
            </w:pPr>
            <w:r>
              <w:rPr>
                <w:rFonts w:hint="eastAsia" w:ascii="Times New Roman" w:hAnsi="Times New Roman" w:eastAsia="宋体" w:cs="Times New Roman"/>
                <w:sz w:val="20"/>
                <w:szCs w:val="20"/>
                <w:highlight w:val="none"/>
                <w:lang w:val="en-US" w:eastAsia="zh-CN"/>
              </w:rPr>
              <w:t>411483.19</w:t>
            </w:r>
          </w:p>
        </w:tc>
      </w:tr>
    </w:tbl>
    <w:p w14:paraId="405C56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none"/>
          <w:lang w:val="en-US" w:eastAsia="zh-CN"/>
        </w:rPr>
      </w:pPr>
    </w:p>
    <w:sectPr>
      <w:footerReference r:id="rId5" w:type="default"/>
      <w:pgSz w:w="11906" w:h="16839"/>
      <w:pgMar w:top="1417" w:right="1587" w:bottom="1417" w:left="158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BAED01-A065-472C-8CD7-8F8E283F34A6}"/>
  </w:font>
  <w:font w:name="黑体">
    <w:panose1 w:val="02010609060101010101"/>
    <w:charset w:val="86"/>
    <w:family w:val="auto"/>
    <w:pitch w:val="default"/>
    <w:sig w:usb0="800002BF" w:usb1="38CF7CFA" w:usb2="00000016" w:usb3="00000000" w:csb0="00040001" w:csb1="00000000"/>
    <w:embedRegular r:id="rId2" w:fontKey="{6B3D9C32-EB90-458D-B1B4-99D18E92C7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CFD6CAD8-55BB-49D6-96AE-AF17235C013B}"/>
  </w:font>
  <w:font w:name="楷体">
    <w:panose1 w:val="02010609060101010101"/>
    <w:charset w:val="86"/>
    <w:family w:val="auto"/>
    <w:pitch w:val="default"/>
    <w:sig w:usb0="800002BF" w:usb1="38CF7CFA" w:usb2="00000016" w:usb3="00000000" w:csb0="00040001" w:csb1="00000000"/>
    <w:embedRegular r:id="rId4" w:fontKey="{BEC58797-9263-470B-ABE7-D31F7E7F677D}"/>
  </w:font>
  <w:font w:name="仿宋_GB2312">
    <w:panose1 w:val="02010609030101010101"/>
    <w:charset w:val="86"/>
    <w:family w:val="auto"/>
    <w:pitch w:val="default"/>
    <w:sig w:usb0="00000001" w:usb1="080E0000" w:usb2="00000000" w:usb3="00000000" w:csb0="00040000" w:csb1="00000000"/>
    <w:embedRegular r:id="rId5" w:fontKey="{C223B49B-1953-4F0F-83A2-79470EDBED2A}"/>
  </w:font>
  <w:font w:name="楷体_GB2312">
    <w:panose1 w:val="02010609030101010101"/>
    <w:charset w:val="86"/>
    <w:family w:val="auto"/>
    <w:pitch w:val="default"/>
    <w:sig w:usb0="00000001" w:usb1="080E0000" w:usb2="00000000" w:usb3="00000000" w:csb0="00040000" w:csb1="00000000"/>
    <w:embedRegular r:id="rId6" w:fontKey="{4B645804-5D84-4FDC-9C3B-94F7E6A548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3F0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8BE4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A8BE4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66042F"/>
    <w:multiLevelType w:val="singleLevel"/>
    <w:tmpl w:val="E966042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2Q0N2I2ZGI4N2Y5NzljNWQ3NTdiMTY5Y2MwODljZjUifQ=="/>
  </w:docVars>
  <w:rsids>
    <w:rsidRoot w:val="00000000"/>
    <w:rsid w:val="002A6AFC"/>
    <w:rsid w:val="01F571E8"/>
    <w:rsid w:val="02A06CA9"/>
    <w:rsid w:val="03404493"/>
    <w:rsid w:val="054943CE"/>
    <w:rsid w:val="05C5181E"/>
    <w:rsid w:val="0A821866"/>
    <w:rsid w:val="0EA435EC"/>
    <w:rsid w:val="0F472F44"/>
    <w:rsid w:val="10F132EB"/>
    <w:rsid w:val="127A1044"/>
    <w:rsid w:val="13BE6A5E"/>
    <w:rsid w:val="156A61D9"/>
    <w:rsid w:val="15D36834"/>
    <w:rsid w:val="15F85FC4"/>
    <w:rsid w:val="17192340"/>
    <w:rsid w:val="179E2135"/>
    <w:rsid w:val="1A7A0FFD"/>
    <w:rsid w:val="1B100797"/>
    <w:rsid w:val="1B4D1C90"/>
    <w:rsid w:val="1B5743C7"/>
    <w:rsid w:val="1BA52F53"/>
    <w:rsid w:val="1BD60A7D"/>
    <w:rsid w:val="1C644E21"/>
    <w:rsid w:val="1D194148"/>
    <w:rsid w:val="220C2E88"/>
    <w:rsid w:val="23BE105D"/>
    <w:rsid w:val="240F5A90"/>
    <w:rsid w:val="27391076"/>
    <w:rsid w:val="28301CE9"/>
    <w:rsid w:val="299267F7"/>
    <w:rsid w:val="2F472C96"/>
    <w:rsid w:val="2FB74C3C"/>
    <w:rsid w:val="31DE4ED6"/>
    <w:rsid w:val="330D7D2E"/>
    <w:rsid w:val="359F3953"/>
    <w:rsid w:val="36453593"/>
    <w:rsid w:val="37F62612"/>
    <w:rsid w:val="38627AC2"/>
    <w:rsid w:val="38C4270F"/>
    <w:rsid w:val="3BE327F4"/>
    <w:rsid w:val="3D5B3D0B"/>
    <w:rsid w:val="40842268"/>
    <w:rsid w:val="410A2F88"/>
    <w:rsid w:val="41B24EE2"/>
    <w:rsid w:val="44CA668A"/>
    <w:rsid w:val="48B40105"/>
    <w:rsid w:val="49C83E68"/>
    <w:rsid w:val="4A2E1B7C"/>
    <w:rsid w:val="4E0F3C8C"/>
    <w:rsid w:val="4E3450DC"/>
    <w:rsid w:val="4E741F07"/>
    <w:rsid w:val="50407B31"/>
    <w:rsid w:val="50EE3D38"/>
    <w:rsid w:val="518B66FF"/>
    <w:rsid w:val="54482800"/>
    <w:rsid w:val="56CD0D0F"/>
    <w:rsid w:val="5B4A68A6"/>
    <w:rsid w:val="5B9F4BBA"/>
    <w:rsid w:val="5BB51980"/>
    <w:rsid w:val="5CB609AD"/>
    <w:rsid w:val="5D6F0228"/>
    <w:rsid w:val="5F990172"/>
    <w:rsid w:val="603B0C1C"/>
    <w:rsid w:val="60E530F9"/>
    <w:rsid w:val="60F46CBA"/>
    <w:rsid w:val="626B7734"/>
    <w:rsid w:val="63333FD9"/>
    <w:rsid w:val="63724157"/>
    <w:rsid w:val="64A02D7A"/>
    <w:rsid w:val="64AA1FA9"/>
    <w:rsid w:val="65D26342"/>
    <w:rsid w:val="664803B2"/>
    <w:rsid w:val="665E094F"/>
    <w:rsid w:val="677671A1"/>
    <w:rsid w:val="678918A5"/>
    <w:rsid w:val="67DF6C31"/>
    <w:rsid w:val="6A7E47DD"/>
    <w:rsid w:val="6D0240E7"/>
    <w:rsid w:val="6D2E23EC"/>
    <w:rsid w:val="71074DB7"/>
    <w:rsid w:val="7AF24F4C"/>
    <w:rsid w:val="7DCB0E4A"/>
    <w:rsid w:val="7FAA1A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character" w:customStyle="1" w:styleId="10">
    <w:name w:val="font11"/>
    <w:basedOn w:val="7"/>
    <w:qFormat/>
    <w:uiPriority w:val="0"/>
    <w:rPr>
      <w:rFonts w:hint="eastAsia" w:ascii="宋体" w:hAnsi="宋体" w:eastAsia="宋体" w:cs="宋体"/>
      <w:b/>
      <w:bCs/>
      <w:color w:val="FFFFFF"/>
      <w:sz w:val="18"/>
      <w:szCs w:val="18"/>
      <w:u w:val="none"/>
    </w:rPr>
  </w:style>
  <w:style w:type="character" w:customStyle="1" w:styleId="11">
    <w:name w:val="font31"/>
    <w:basedOn w:val="7"/>
    <w:qFormat/>
    <w:uiPriority w:val="0"/>
    <w:rPr>
      <w:rFonts w:hint="eastAsia" w:ascii="宋体" w:hAnsi="宋体" w:eastAsia="宋体" w:cs="宋体"/>
      <w:color w:val="FFFFFF"/>
      <w:sz w:val="18"/>
      <w:szCs w:val="18"/>
      <w:u w:val="none"/>
    </w:rPr>
  </w:style>
  <w:style w:type="character" w:customStyle="1" w:styleId="12">
    <w:name w:val="font41"/>
    <w:basedOn w:val="7"/>
    <w:qFormat/>
    <w:uiPriority w:val="0"/>
    <w:rPr>
      <w:rFonts w:hint="default" w:ascii="Times New Roman" w:hAnsi="Times New Roman" w:cs="Times New Roman"/>
      <w:b/>
      <w:bCs/>
      <w:color w:val="FFFFFF"/>
      <w:sz w:val="18"/>
      <w:szCs w:val="18"/>
      <w:u w:val="none"/>
    </w:rPr>
  </w:style>
  <w:style w:type="character" w:customStyle="1" w:styleId="13">
    <w:name w:val="font21"/>
    <w:basedOn w:val="7"/>
    <w:qFormat/>
    <w:uiPriority w:val="0"/>
    <w:rPr>
      <w:rFonts w:hint="eastAsia" w:ascii="宋体" w:hAnsi="宋体" w:eastAsia="宋体" w:cs="宋体"/>
      <w:color w:val="000000"/>
      <w:sz w:val="20"/>
      <w:szCs w:val="20"/>
      <w:u w:val="none"/>
    </w:rPr>
  </w:style>
  <w:style w:type="character" w:customStyle="1" w:styleId="14">
    <w:name w:val="font61"/>
    <w:basedOn w:val="7"/>
    <w:qFormat/>
    <w:uiPriority w:val="0"/>
    <w:rPr>
      <w:rFonts w:hint="default" w:ascii="Times New Roman" w:hAnsi="Times New Roman" w:cs="Times New Roman"/>
      <w:color w:val="FFFFFF"/>
      <w:sz w:val="20"/>
      <w:szCs w:val="20"/>
      <w:u w:val="none"/>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7d4da92a-a0e9-459d-be7b-db4aa99a4e54</errorID>
      <errorWord>(</errorWord>
      <group>L1_Format</group>
      <groupName>格式问题</groupName>
      <ability>L2_HalfPunc</ability>
      <abilityName>全半角检查</abilityName>
      <candidateList>
        <item>（</item>
      </candidateList>
      <explain>文本全半角错误。</explain>
      <paraID>380DD4B7</paraID>
      <start>29</start>
      <end>30</end>
      <status>modified</status>
      <modifiedWord>（</modifiedWord>
      <trackRevisions>false</trackRevisions>
    </reviewItem>
    <reviewItem>
      <errorID>dcea77d3-35ac-4c10-abe8-103e3e94cdd2</errorID>
      <errorWord>)</errorWord>
      <group>L1_Format</group>
      <groupName>格式问题</groupName>
      <ability>L2_HalfPunc</ability>
      <abilityName>全半角检查</abilityName>
      <candidateList>
        <item>）</item>
      </candidateList>
      <explain>文本全半角错误。</explain>
      <paraID>380DD4B7</paraID>
      <start>49</start>
      <end>50</end>
      <status>modified</status>
      <modifiedWord>）</modifiedWord>
      <trackRevisions>false</trackRevisions>
    </reviewItem>
    <reviewItem>
      <errorID>193245be-5321-46d9-9760-7d2d97505207</errorID>
      <errorWord>(</errorWord>
      <group>L1_Format</group>
      <groupName>格式问题</groupName>
      <ability>L2_HalfPunc</ability>
      <abilityName>全半角检查</abilityName>
      <candidateList>
        <item>（</item>
      </candidateList>
      <explain>文本全半角错误。</explain>
      <paraID>60B34F34</paraID>
      <start>38</start>
      <end>39</end>
      <status>modified</status>
      <modifiedWord>（</modifiedWord>
      <trackRevisions>false</trackRevisions>
    </reviewItem>
    <reviewItem>
      <errorID>4720ebd6-1039-4d28-9efd-d3b64c514ee5</errorID>
      <errorWord>)</errorWord>
      <group>L1_Format</group>
      <groupName>格式问题</groupName>
      <ability>L2_HalfPunc</ability>
      <abilityName>全半角检查</abilityName>
      <candidateList>
        <item>）</item>
      </candidateList>
      <explain>文本全半角错误。</explain>
      <paraID>60B34F34</paraID>
      <start>40</start>
      <end>41</end>
      <status>modified</status>
      <modifiedWord>）</modifiedWord>
      <trackRevisions>false</trackRevisions>
    </reviewItem>
    <reviewItem>
      <errorID>593b7df1-0fb9-415e-bd96-9b3c458f47f7</errorID>
      <errorWord>(</errorWord>
      <group>L1_Format</group>
      <groupName>格式问题</groupName>
      <ability>L2_HalfPunc</ability>
      <abilityName>全半角检查</abilityName>
      <candidateList>
        <item>（</item>
      </candidateList>
      <explain>文本全半角错误。</explain>
      <paraID>60B34F34</paraID>
      <start>60</start>
      <end>61</end>
      <status>modified</status>
      <modifiedWord>（</modifiedWord>
      <trackRevisions>false</trackRevisions>
    </reviewItem>
    <reviewItem>
      <errorID>0ae65dfe-aa00-497a-a308-e359cf9f1537</errorID>
      <errorWord>)</errorWord>
      <group>L1_Format</group>
      <groupName>格式问题</groupName>
      <ability>L2_HalfPunc</ability>
      <abilityName>全半角检查</abilityName>
      <candidateList>
        <item>）</item>
      </candidateList>
      <explain>文本全半角错误。</explain>
      <paraID>60B34F34</paraID>
      <start>62</start>
      <end>63</end>
      <status>modified</status>
      <modifiedWord>）</modifiedWord>
      <trackRevisions>false</trackRevisions>
    </reviewItem>
    <reviewItem>
      <errorID>5b830622-fd35-4f02-a918-9d8998672b46</errorID>
      <errorWord>(</errorWord>
      <group>L1_Format</group>
      <groupName>格式问题</groupName>
      <ability>L2_HalfPunc</ability>
      <abilityName>全半角检查</abilityName>
      <candidateList>
        <item>（</item>
      </candidateList>
      <explain>文本全半角错误。</explain>
      <paraID>60B34F34</paraID>
      <start>80</start>
      <end>81</end>
      <status>modified</status>
      <modifiedWord>（</modifiedWord>
      <trackRevisions>false</trackRevisions>
    </reviewItem>
    <reviewItem>
      <errorID>22406dc5-aed6-425a-a020-2b9233dfeccb</errorID>
      <errorWord>)</errorWord>
      <group>L1_Format</group>
      <groupName>格式问题</groupName>
      <ability>L2_HalfPunc</ability>
      <abilityName>全半角检查</abilityName>
      <candidateList>
        <item>）</item>
      </candidateList>
      <explain>文本全半角错误。</explain>
      <paraID>60B34F34</paraID>
      <start>82</start>
      <end>83</end>
      <status>modified</status>
      <modifiedWord>）</modifiedWord>
      <trackRevisions>false</trackRevisions>
    </reviewItem>
    <reviewItem>
      <errorID>90f6f839-d423-4e74-a61a-0e3ea68353a4</errorID>
      <errorWord>额额</errorWord>
      <group>L1_Word</group>
      <groupName>字词问题</groupName>
      <ability>L2_Typo</ability>
      <abilityName>字词错误</abilityName>
      <candidateList>
        <item>额</item>
      </candidateList>
      <explain/>
      <paraID>6BFA1798</paraID>
      <start>139</start>
      <end>141</end>
      <status>ignored</status>
      <modifiedWord/>
      <trackRevisions>false</trackRevisions>
    </reviewItem>
    <reviewItem>
      <errorID>604ff495-4601-4ad2-97c3-c3d4b347a3c5</errorID>
      <errorWord>》</errorWord>
      <group>L1_Word</group>
      <groupName>字词问题</groupName>
      <ability>L2_Typo</ability>
      <abilityName>字词错误</abilityName>
      <candidateList>
        <item>》等</item>
      </candidateList>
      <explain/>
      <paraID>15018B2D</paraID>
      <start>13</start>
      <end>14</end>
      <status>ignored</status>
      <modifiedWord/>
      <trackRevisions>false</trackRevisions>
    </reviewItem>
    <reviewItem>
      <errorID>0c4cbedb-1901-4522-8e4c-570dd5801200</errorID>
      <errorWord>:</errorWord>
      <group>L1_Format</group>
      <groupName>格式问题</groupName>
      <ability>L2_HalfPunc</ability>
      <abilityName>全半角检查</abilityName>
      <candidateList>
        <item>：</item>
      </candidateList>
      <explain>文本全半角错误。</explain>
      <paraID>15018B2D</paraID>
      <start>32</start>
      <end>33</end>
      <status>modified</status>
      <modifiedWord>：</modifiedWord>
      <trackRevisions>false</trackRevisions>
    </reviewItem>
    <reviewItem>
      <errorID>82497175-bdbb-4e99-94d6-858cf3be90e0</errorID>
      <errorWord>(</errorWord>
      <group>L1_Format</group>
      <groupName>格式问题</groupName>
      <ability>L2_HalfPunc</ability>
      <abilityName>全半角检查</abilityName>
      <candidateList>
        <item>（</item>
      </candidateList>
      <explain>文本全半角错误。</explain>
      <paraID>40B804DF</paraID>
      <start>4</start>
      <end>5</end>
      <status>modified</status>
      <modifiedWord>（</modifiedWord>
      <trackRevisions>false</trackRevisions>
    </reviewItem>
    <reviewItem>
      <errorID>7f17037d-e67f-4354-b853-9dcce8080a92</errorID>
      <errorWord>)</errorWord>
      <group>L1_Format</group>
      <groupName>格式问题</groupName>
      <ability>L2_HalfPunc</ability>
      <abilityName>全半角检查</abilityName>
      <candidateList>
        <item>）</item>
      </candidateList>
      <explain>文本全半角错误。</explain>
      <paraID>40B804DF</paraID>
      <start>6</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ea4560-a4f2-4f3d-9800-e657615e72b6}">
  <ds:schemaRefs/>
</ds:datastoreItem>
</file>

<file path=docProps/app.xml><?xml version="1.0" encoding="utf-8"?>
<Properties xmlns="http://schemas.openxmlformats.org/officeDocument/2006/extended-properties" xmlns:vt="http://schemas.openxmlformats.org/officeDocument/2006/docPropsVTypes">
  <Pages>8</Pages>
  <Words>1727</Words>
  <Characters>2507</Characters>
  <TotalTime>14</TotalTime>
  <ScaleCrop>false</ScaleCrop>
  <LinksUpToDate>false</LinksUpToDate>
  <CharactersWithSpaces>2558</CharactersWithSpaces>
  <Application>WPS Office_12.1.0.25222_F1E327BC-269C-435d-A152-05C5408002CA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2024-03-18T18:00:00Z</dcterms:created>
  <dc:creator>Administrator</dc:creator>
  <cp:lastModifiedBy>芳菲四月</cp:lastModifiedBy>
  <cp:lastPrinted>2026-10-22T07:34:39Z</cp:lastPrinted>
  <dcterms:modified xsi:type="dcterms:W3CDTF">2026-10-22T07:36:29Z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2024-04-26T09:55:29Z</vt:filetime>
  </property>
  <property fmtid="{D5CDD505-2E9C-101B-9397-08002B2CF9AE}" pid="4" name="KSOProductBuildVer">
    <vt:lpwstr>2052-12.1.0.25222</vt:lpwstr>
  </property>
  <property fmtid="{D5CDD505-2E9C-101B-9397-08002B2CF9AE}" pid="5" name="ICV">
    <vt:lpwstr>6183523FDC7D4425B3DD1D42BAAA9509_13</vt:lpwstr>
  </property>
  <property fmtid="{D5CDD505-2E9C-101B-9397-08002B2CF9AE}" pid="6" name="KSOTemplateDocerSaveRecord">
    <vt:lpwstr>eyJoZGlkIjoiOTU2ZTI4ZjA3YjIyYzYyNTY3MzViMTM0NjFkNjJjNmMiLCJ1c2VySWQiOiIzOTA3MzgxNDAifQ==</vt:lpwstr>
  </property>
</Properties>
</file>